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Pr="009E35A8" w:rsidRDefault="00736922" w:rsidP="009E35A8">
      <w:pPr>
        <w:jc w:val="both"/>
        <w:rPr>
          <w:rFonts w:ascii="Arial" w:hAnsi="Arial" w:cs="Arial"/>
          <w:b/>
          <w:bCs/>
          <w:lang w:val="en-GB"/>
        </w:rPr>
      </w:pPr>
    </w:p>
    <w:p w14:paraId="0BBDFC08" w14:textId="77777777" w:rsidR="009E35A8" w:rsidRPr="009E35A8" w:rsidRDefault="009E35A8" w:rsidP="009E35A8">
      <w:pPr>
        <w:jc w:val="both"/>
        <w:rPr>
          <w:rFonts w:ascii="Arial" w:hAnsi="Arial" w:cs="Arial"/>
          <w:b/>
          <w:bCs/>
          <w:lang w:val="en-GB"/>
        </w:rPr>
      </w:pPr>
      <w:r w:rsidRPr="009E35A8">
        <w:rPr>
          <w:rFonts w:ascii="Arial" w:hAnsi="Arial" w:cs="Arial"/>
          <w:b/>
          <w:bCs/>
          <w:lang w:val="en-GB"/>
        </w:rPr>
        <w:t>Effects of Kv7 channel activators in experimental models of amyotrophic lateral sclerosis</w:t>
      </w:r>
    </w:p>
    <w:p w14:paraId="3B046901" w14:textId="0CEB241E" w:rsidR="009E35A8" w:rsidRPr="009E35A8" w:rsidRDefault="009E35A8" w:rsidP="009E35A8">
      <w:pPr>
        <w:jc w:val="both"/>
        <w:rPr>
          <w:rFonts w:ascii="Arial" w:hAnsi="Arial" w:cs="Arial"/>
        </w:rPr>
      </w:pPr>
      <w:r w:rsidRPr="009E35A8">
        <w:rPr>
          <w:rFonts w:ascii="Arial" w:hAnsi="Arial" w:cs="Arial"/>
          <w:u w:val="single"/>
        </w:rPr>
        <w:t>Rossella Vitale</w:t>
      </w:r>
      <w:r w:rsidRPr="009E35A8">
        <w:rPr>
          <w:rFonts w:ascii="Arial" w:hAnsi="Arial" w:cs="Arial"/>
          <w:i/>
          <w:vertAlign w:val="superscript"/>
        </w:rPr>
        <w:t>1,</w:t>
      </w:r>
      <w:r w:rsidRPr="009E35A8">
        <w:rPr>
          <w:rFonts w:ascii="Arial" w:hAnsi="Arial" w:cs="Arial"/>
          <w:i/>
          <w:iCs/>
          <w:vertAlign w:val="superscript"/>
        </w:rPr>
        <w:t>2</w:t>
      </w:r>
      <w:r w:rsidRPr="009E35A8">
        <w:rPr>
          <w:rFonts w:ascii="Arial" w:hAnsi="Arial" w:cs="Arial"/>
        </w:rPr>
        <w:t>, Camilla Celentano</w:t>
      </w:r>
      <w:r w:rsidRPr="009E35A8">
        <w:rPr>
          <w:rFonts w:ascii="Arial" w:hAnsi="Arial" w:cs="Arial"/>
          <w:i/>
          <w:vertAlign w:val="superscript"/>
        </w:rPr>
        <w:t>1</w:t>
      </w:r>
      <w:r w:rsidRPr="009E35A8">
        <w:rPr>
          <w:rFonts w:ascii="Arial" w:hAnsi="Arial" w:cs="Arial"/>
        </w:rPr>
        <w:t>, Flavia Borghese</w:t>
      </w:r>
      <w:r w:rsidRPr="009E35A8">
        <w:rPr>
          <w:rFonts w:ascii="Arial" w:hAnsi="Arial" w:cs="Arial"/>
          <w:i/>
          <w:vertAlign w:val="superscript"/>
        </w:rPr>
        <w:t>1</w:t>
      </w:r>
      <w:r w:rsidRPr="009E35A8">
        <w:rPr>
          <w:rFonts w:ascii="Arial" w:hAnsi="Arial" w:cs="Arial"/>
        </w:rPr>
        <w:t>, Lidia Carotenuto</w:t>
      </w:r>
      <w:r w:rsidRPr="009E35A8">
        <w:rPr>
          <w:rFonts w:ascii="Arial" w:hAnsi="Arial" w:cs="Arial"/>
          <w:i/>
          <w:vertAlign w:val="superscript"/>
        </w:rPr>
        <w:t>1</w:t>
      </w:r>
      <w:r w:rsidRPr="009E35A8">
        <w:rPr>
          <w:rFonts w:ascii="Arial" w:hAnsi="Arial" w:cs="Arial"/>
        </w:rPr>
        <w:t>, Luana Messuri</w:t>
      </w:r>
      <w:r w:rsidRPr="009E35A8">
        <w:rPr>
          <w:rFonts w:ascii="Arial" w:hAnsi="Arial" w:cs="Arial"/>
          <w:i/>
          <w:vertAlign w:val="superscript"/>
        </w:rPr>
        <w:t>1</w:t>
      </w:r>
      <w:r w:rsidRPr="009E35A8">
        <w:rPr>
          <w:rFonts w:ascii="Arial" w:hAnsi="Arial" w:cs="Arial"/>
        </w:rPr>
        <w:t>, Natascia Guida</w:t>
      </w:r>
      <w:r w:rsidRPr="009E35A8">
        <w:rPr>
          <w:rFonts w:ascii="Arial" w:hAnsi="Arial" w:cs="Arial"/>
          <w:i/>
          <w:vertAlign w:val="superscript"/>
        </w:rPr>
        <w:t>1</w:t>
      </w:r>
      <w:r w:rsidRPr="009E35A8">
        <w:rPr>
          <w:rFonts w:ascii="Arial" w:hAnsi="Arial" w:cs="Arial"/>
        </w:rPr>
        <w:t>, Carmine Ostacolo</w:t>
      </w:r>
      <w:r w:rsidRPr="009E35A8">
        <w:rPr>
          <w:rFonts w:ascii="Arial" w:hAnsi="Arial" w:cs="Arial"/>
          <w:i/>
          <w:iCs/>
          <w:vertAlign w:val="superscript"/>
        </w:rPr>
        <w:t>3</w:t>
      </w:r>
      <w:r w:rsidRPr="009E35A8">
        <w:rPr>
          <w:rFonts w:ascii="Arial" w:hAnsi="Arial" w:cs="Arial"/>
        </w:rPr>
        <w:t>, Francesco Miceli</w:t>
      </w:r>
      <w:r w:rsidRPr="009E35A8">
        <w:rPr>
          <w:rFonts w:ascii="Arial" w:hAnsi="Arial" w:cs="Arial"/>
          <w:i/>
          <w:vertAlign w:val="superscript"/>
        </w:rPr>
        <w:t>1</w:t>
      </w:r>
      <w:r w:rsidRPr="009E35A8">
        <w:rPr>
          <w:rFonts w:ascii="Arial" w:hAnsi="Arial" w:cs="Arial"/>
        </w:rPr>
        <w:t>, Maurizio Taglialatela</w:t>
      </w:r>
      <w:r w:rsidRPr="009E35A8">
        <w:rPr>
          <w:rFonts w:ascii="Arial" w:hAnsi="Arial" w:cs="Arial"/>
          <w:i/>
          <w:vertAlign w:val="superscript"/>
        </w:rPr>
        <w:t>1</w:t>
      </w:r>
      <w:r w:rsidRPr="009E35A8">
        <w:rPr>
          <w:rFonts w:ascii="Arial" w:hAnsi="Arial" w:cs="Arial"/>
        </w:rPr>
        <w:t>, Vincenzo Barrese</w:t>
      </w:r>
      <w:r w:rsidRPr="009E35A8">
        <w:rPr>
          <w:rFonts w:ascii="Arial" w:hAnsi="Arial" w:cs="Arial"/>
          <w:i/>
          <w:vertAlign w:val="superscript"/>
        </w:rPr>
        <w:t>1</w:t>
      </w:r>
    </w:p>
    <w:p w14:paraId="333D25F4" w14:textId="77777777" w:rsidR="009E35A8" w:rsidRPr="009E35A8" w:rsidRDefault="009E35A8" w:rsidP="009E35A8">
      <w:pPr>
        <w:jc w:val="both"/>
        <w:rPr>
          <w:rFonts w:ascii="Arial" w:hAnsi="Arial" w:cs="Arial"/>
          <w:i/>
          <w:iCs/>
          <w:sz w:val="22"/>
          <w:szCs w:val="22"/>
          <w:lang w:val="en-US"/>
        </w:rPr>
      </w:pPr>
      <w:r w:rsidRPr="009E35A8">
        <w:rPr>
          <w:rFonts w:ascii="Arial" w:hAnsi="Arial" w:cs="Arial"/>
          <w:i/>
          <w:iCs/>
          <w:sz w:val="22"/>
          <w:szCs w:val="22"/>
          <w:vertAlign w:val="superscript"/>
          <w:lang w:val="en-US"/>
        </w:rPr>
        <w:t xml:space="preserve">1 </w:t>
      </w:r>
      <w:r w:rsidRPr="009E35A8">
        <w:rPr>
          <w:rFonts w:ascii="Arial" w:hAnsi="Arial" w:cs="Arial"/>
          <w:i/>
          <w:iCs/>
          <w:sz w:val="22"/>
          <w:szCs w:val="22"/>
          <w:lang w:val="en-US"/>
        </w:rPr>
        <w:t>Department of Neuroscience, Reproductive Sciences and Dentistry, University of Naples Federico II, Naples, Italy</w:t>
      </w:r>
    </w:p>
    <w:p w14:paraId="4BE5CC45" w14:textId="77777777" w:rsidR="009E35A8" w:rsidRPr="009E35A8" w:rsidRDefault="009E35A8" w:rsidP="009E35A8">
      <w:pPr>
        <w:jc w:val="both"/>
        <w:rPr>
          <w:rFonts w:ascii="Arial" w:hAnsi="Arial" w:cs="Arial"/>
          <w:i/>
          <w:iCs/>
          <w:sz w:val="22"/>
          <w:szCs w:val="22"/>
          <w:lang w:val="en-US"/>
        </w:rPr>
      </w:pPr>
      <w:r w:rsidRPr="009E35A8">
        <w:rPr>
          <w:rFonts w:ascii="Arial" w:hAnsi="Arial" w:cs="Arial"/>
          <w:i/>
          <w:iCs/>
          <w:sz w:val="22"/>
          <w:szCs w:val="22"/>
          <w:vertAlign w:val="superscript"/>
          <w:lang w:val="en-US"/>
        </w:rPr>
        <w:t xml:space="preserve">2 </w:t>
      </w:r>
      <w:r w:rsidRPr="009E35A8">
        <w:rPr>
          <w:rFonts w:ascii="Arial" w:hAnsi="Arial" w:cs="Arial"/>
          <w:i/>
          <w:iCs/>
          <w:sz w:val="22"/>
          <w:szCs w:val="22"/>
          <w:lang w:val="en-US"/>
        </w:rPr>
        <w:t>International School of Advanced Studies, University of Camerino, Camerino, Italy</w:t>
      </w:r>
    </w:p>
    <w:p w14:paraId="49DA499C" w14:textId="77777777" w:rsidR="009E35A8" w:rsidRPr="009E35A8" w:rsidRDefault="009E35A8" w:rsidP="009E35A8">
      <w:pPr>
        <w:jc w:val="both"/>
        <w:rPr>
          <w:rFonts w:ascii="Arial" w:hAnsi="Arial" w:cs="Arial"/>
          <w:i/>
          <w:iCs/>
          <w:sz w:val="22"/>
          <w:szCs w:val="22"/>
          <w:lang w:val="en-US"/>
        </w:rPr>
      </w:pPr>
      <w:r w:rsidRPr="009E35A8">
        <w:rPr>
          <w:rFonts w:ascii="Arial" w:hAnsi="Arial" w:cs="Arial"/>
          <w:i/>
          <w:iCs/>
          <w:sz w:val="22"/>
          <w:szCs w:val="22"/>
          <w:vertAlign w:val="superscript"/>
          <w:lang w:val="en-US"/>
        </w:rPr>
        <w:t xml:space="preserve">3 </w:t>
      </w:r>
      <w:r w:rsidRPr="009E35A8">
        <w:rPr>
          <w:rFonts w:ascii="Arial" w:hAnsi="Arial" w:cs="Arial"/>
          <w:i/>
          <w:iCs/>
          <w:sz w:val="22"/>
          <w:szCs w:val="22"/>
          <w:lang w:val="en-US"/>
        </w:rPr>
        <w:t>Department of Pharmacy, University of Salerno, Salerno, Italy</w:t>
      </w:r>
    </w:p>
    <w:p w14:paraId="394ECB06" w14:textId="77777777" w:rsidR="00736922" w:rsidRPr="009E35A8" w:rsidRDefault="00736922" w:rsidP="009E35A8">
      <w:pPr>
        <w:spacing w:after="0"/>
        <w:jc w:val="both"/>
        <w:rPr>
          <w:rFonts w:ascii="Arial" w:hAnsi="Arial" w:cs="Arial"/>
          <w:lang w:val="en-GB"/>
        </w:rPr>
      </w:pPr>
    </w:p>
    <w:p w14:paraId="71565856" w14:textId="1144B026" w:rsidR="00823644" w:rsidRPr="009E35A8" w:rsidRDefault="00736922" w:rsidP="009E35A8">
      <w:pPr>
        <w:jc w:val="both"/>
        <w:rPr>
          <w:rFonts w:ascii="Arial" w:hAnsi="Arial" w:cs="Arial"/>
          <w:b/>
          <w:bCs/>
          <w:u w:val="single"/>
          <w:lang w:val="en-GB"/>
        </w:rPr>
      </w:pPr>
      <w:r w:rsidRPr="009E35A8">
        <w:rPr>
          <w:rFonts w:ascii="Arial" w:hAnsi="Arial" w:cs="Arial"/>
          <w:b/>
          <w:bCs/>
          <w:u w:val="single"/>
          <w:lang w:val="en-GB"/>
        </w:rPr>
        <w:t>Introduction</w:t>
      </w:r>
      <w:r w:rsidR="009E35A8" w:rsidRPr="009E35A8">
        <w:rPr>
          <w:rFonts w:ascii="Arial" w:hAnsi="Arial" w:cs="Arial"/>
          <w:b/>
          <w:bCs/>
          <w:u w:val="single"/>
          <w:lang w:val="en-GB"/>
        </w:rPr>
        <w:t xml:space="preserve">  </w:t>
      </w:r>
      <w:r w:rsidR="009E35A8" w:rsidRPr="009E35A8">
        <w:rPr>
          <w:rFonts w:ascii="Arial" w:hAnsi="Arial" w:cs="Arial"/>
          <w:kern w:val="0"/>
          <w:lang w:val="en-GB"/>
          <w14:ligatures w14:val="none"/>
        </w:rPr>
        <w:t>Amyotrophic Lateral Sclerosis (ALS) is a neurodegenerative disease characterized by the progressive degeneration of motor neurons (MNs), leading to muscle weakness and eventual respiratory failure. Multiple pathological mechanisms, including excitotoxicity, oxidative stress, protein aggregation, and disruption of ionic homeostasis have been identified in ALS. A reduction in potassium current mediated by voltage-gated Kv7 channels have been found in ALS-MNs, contributing to neuronal hyperexcitability, a hallmark and early event in ALS pathogenesis. Moreover, recent evidence indicates that mutant forms of TDP-43 (TARDBP), identified in ALS patients, can alter KCNQ2 splicing, leading to loss function of the channel. Furthermore, the Kv7 activator retigabine exerted neuroprotective effects in ALS-MNs. Unfortunately, retigabine is no longer available for clinical use, due to toxicity unrelated to its mechanism of action. Therefore, the aim of this study was to evaluate the possible neuroprotective effects of two novel Kv7 activators identified by our research group, namely compound 60 (C60) and JNJ-37822681 (JNJ), in cellular models of ALS.</w:t>
      </w:r>
    </w:p>
    <w:p w14:paraId="3A97044C" w14:textId="587D0343" w:rsidR="009E35A8" w:rsidRPr="009E35A8" w:rsidRDefault="00736922" w:rsidP="009E35A8">
      <w:pPr>
        <w:jc w:val="both"/>
        <w:rPr>
          <w:rFonts w:ascii="Arial" w:eastAsia="Aptos" w:hAnsi="Arial" w:cs="Arial"/>
          <w:lang w:val="en-GB"/>
        </w:rPr>
      </w:pPr>
      <w:r w:rsidRPr="009E35A8">
        <w:rPr>
          <w:rFonts w:ascii="Arial" w:hAnsi="Arial" w:cs="Arial"/>
          <w:b/>
          <w:bCs/>
          <w:u w:val="single"/>
          <w:lang w:val="en-GB"/>
        </w:rPr>
        <w:t>Methods</w:t>
      </w:r>
      <w:r w:rsidR="009E35A8" w:rsidRPr="009E35A8">
        <w:rPr>
          <w:rFonts w:ascii="Arial" w:hAnsi="Arial" w:cs="Arial"/>
          <w:b/>
          <w:bCs/>
          <w:u w:val="single"/>
          <w:lang w:val="en-GB"/>
        </w:rPr>
        <w:t xml:space="preserve"> </w:t>
      </w:r>
      <w:r w:rsidR="009E35A8" w:rsidRPr="009E35A8">
        <w:rPr>
          <w:rFonts w:ascii="Arial" w:eastAsia="Aptos" w:hAnsi="Arial" w:cs="Arial"/>
          <w:lang w:val="en-GB"/>
        </w:rPr>
        <w:t>W</w:t>
      </w:r>
      <w:r w:rsidR="009E35A8" w:rsidRPr="009E35A8">
        <w:rPr>
          <w:rFonts w:ascii="Arial" w:eastAsia="Aptos" w:hAnsi="Arial" w:cs="Arial"/>
          <w:lang w:val="en-GB"/>
        </w:rPr>
        <w:t xml:space="preserve">e generated stable NSC-34 motor neuron-like cell lines overexpressing either C9orf72 sequence or a mutated form of the superoxide dismutase-1 (SOD1-G93A), two gene-variants associated to ALS. Cell proliferation and viability were evaluated using Water Soluble Tetrazole (WST) assays; reactive oxygen species (ROS) were measured with fluorometric intracellular ROS detection kit; endoplasmic reticulum (ER) stress was assessed by measuring the levels of C/EBP-homologous protein (CHOP) by quantitative PCR. </w:t>
      </w:r>
    </w:p>
    <w:p w14:paraId="0333E31B" w14:textId="77777777" w:rsidR="009E35A8" w:rsidRPr="009E35A8" w:rsidRDefault="009E35A8" w:rsidP="009E35A8">
      <w:pPr>
        <w:spacing w:line="276" w:lineRule="auto"/>
        <w:jc w:val="both"/>
        <w:rPr>
          <w:rFonts w:ascii="Arial" w:eastAsia="Aptos" w:hAnsi="Arial" w:cs="Arial"/>
          <w:lang w:val="en-GB"/>
        </w:rPr>
      </w:pPr>
    </w:p>
    <w:p w14:paraId="789C438B" w14:textId="77777777" w:rsidR="009E35A8" w:rsidRPr="009E35A8" w:rsidRDefault="009E35A8" w:rsidP="009E35A8">
      <w:pPr>
        <w:spacing w:line="276" w:lineRule="auto"/>
        <w:jc w:val="both"/>
        <w:rPr>
          <w:rFonts w:ascii="Arial" w:eastAsia="Aptos" w:hAnsi="Arial" w:cs="Arial"/>
          <w:lang w:val="en-GB"/>
        </w:rPr>
      </w:pPr>
    </w:p>
    <w:p w14:paraId="1DD8294E" w14:textId="77777777" w:rsidR="009E35A8" w:rsidRPr="009E35A8" w:rsidRDefault="009E35A8" w:rsidP="009E35A8">
      <w:pPr>
        <w:spacing w:line="276" w:lineRule="auto"/>
        <w:jc w:val="both"/>
        <w:rPr>
          <w:rFonts w:ascii="Arial" w:eastAsia="Aptos" w:hAnsi="Arial" w:cs="Arial"/>
          <w:lang w:val="en-GB"/>
        </w:rPr>
      </w:pPr>
    </w:p>
    <w:p w14:paraId="29145C13" w14:textId="31043F37" w:rsidR="00736922" w:rsidRPr="009E35A8" w:rsidRDefault="00736922" w:rsidP="009E35A8">
      <w:pPr>
        <w:jc w:val="both"/>
        <w:rPr>
          <w:rFonts w:ascii="Arial" w:hAnsi="Arial" w:cs="Arial"/>
          <w:b/>
          <w:bCs/>
          <w:u w:val="single"/>
          <w:lang w:val="en-GB"/>
        </w:rPr>
      </w:pPr>
    </w:p>
    <w:p w14:paraId="72B508C1" w14:textId="067FA5CD" w:rsidR="00736922" w:rsidRPr="009E35A8" w:rsidRDefault="00736922" w:rsidP="009E35A8">
      <w:pPr>
        <w:spacing w:line="276" w:lineRule="auto"/>
        <w:jc w:val="both"/>
        <w:rPr>
          <w:rFonts w:ascii="Arial" w:eastAsia="Aptos" w:hAnsi="Arial" w:cs="Arial"/>
          <w:lang w:val="en-GB"/>
        </w:rPr>
      </w:pPr>
      <w:r w:rsidRPr="009E35A8">
        <w:rPr>
          <w:rFonts w:ascii="Arial" w:hAnsi="Arial" w:cs="Arial"/>
          <w:b/>
          <w:bCs/>
          <w:u w:val="single"/>
          <w:lang w:val="en-GB"/>
        </w:rPr>
        <w:t>Results</w:t>
      </w:r>
      <w:r w:rsidR="009E35A8" w:rsidRPr="009E35A8">
        <w:rPr>
          <w:rFonts w:ascii="Arial" w:hAnsi="Arial" w:cs="Arial"/>
          <w:b/>
          <w:bCs/>
          <w:u w:val="single"/>
          <w:lang w:val="en-GB"/>
        </w:rPr>
        <w:t xml:space="preserve"> </w:t>
      </w:r>
      <w:r w:rsidR="009E35A8" w:rsidRPr="009E35A8">
        <w:rPr>
          <w:rFonts w:ascii="Arial" w:eastAsia="Aptos" w:hAnsi="Arial" w:cs="Arial"/>
          <w:lang w:val="en-GB"/>
        </w:rPr>
        <w:t>C9orf72 overexpression reduced NSC-34 cell viability by approximately 40%, whereas SOD1-G93A clones exhibited a reduction in proliferation rate by 40%. In both cell lines, C60, JNJ, or retigabine (1-10 µM) did not increase cell survival of proliferation. However, Kv7 activators (10 µM) markedly prevented the increase in intracellular ROS levels induced by acute exposure (30 min) to H</w:t>
      </w:r>
      <w:r w:rsidR="009E35A8" w:rsidRPr="009E35A8">
        <w:rPr>
          <w:rFonts w:ascii="Cambria Math" w:eastAsia="Aptos" w:hAnsi="Cambria Math" w:cs="Cambria Math"/>
          <w:lang w:val="en-GB"/>
        </w:rPr>
        <w:t>₂</w:t>
      </w:r>
      <w:r w:rsidR="009E35A8" w:rsidRPr="009E35A8">
        <w:rPr>
          <w:rFonts w:ascii="Arial" w:eastAsia="Aptos" w:hAnsi="Arial" w:cs="Arial"/>
          <w:lang w:val="en-GB"/>
        </w:rPr>
        <w:t>O</w:t>
      </w:r>
      <w:r w:rsidR="009E35A8" w:rsidRPr="009E35A8">
        <w:rPr>
          <w:rFonts w:ascii="Cambria Math" w:eastAsia="Aptos" w:hAnsi="Cambria Math" w:cs="Cambria Math"/>
          <w:lang w:val="en-GB"/>
        </w:rPr>
        <w:t>₂</w:t>
      </w:r>
      <w:r w:rsidR="009E35A8" w:rsidRPr="009E35A8">
        <w:rPr>
          <w:rFonts w:ascii="Arial" w:eastAsia="Aptos" w:hAnsi="Arial" w:cs="Arial"/>
          <w:lang w:val="en-GB"/>
        </w:rPr>
        <w:t xml:space="preserve"> (0.1 mM) in both C9orf72 and SOD1-G93A models. Furthermore, C60, JNJ, and retigabine attenuated CHOP upregulation in NSC-34-C9orf72 cells, indicating a reduction in ER stress.</w:t>
      </w:r>
    </w:p>
    <w:p w14:paraId="2725ED62" w14:textId="6A42D2DF" w:rsidR="00736922" w:rsidRPr="009E35A8" w:rsidRDefault="00736922" w:rsidP="009E35A8">
      <w:pPr>
        <w:jc w:val="both"/>
        <w:rPr>
          <w:rFonts w:ascii="Arial" w:hAnsi="Arial" w:cs="Arial"/>
          <w:b/>
          <w:bCs/>
          <w:u w:val="single"/>
          <w:lang w:val="en-GB"/>
        </w:rPr>
      </w:pPr>
      <w:r w:rsidRPr="009E35A8">
        <w:rPr>
          <w:rFonts w:ascii="Arial" w:hAnsi="Arial" w:cs="Arial"/>
          <w:b/>
          <w:bCs/>
          <w:u w:val="single"/>
          <w:lang w:val="en-GB"/>
        </w:rPr>
        <w:t>Conclusions</w:t>
      </w:r>
      <w:r w:rsidR="009E35A8" w:rsidRPr="009E35A8">
        <w:rPr>
          <w:rFonts w:ascii="Arial" w:hAnsi="Arial" w:cs="Arial"/>
          <w:b/>
          <w:bCs/>
          <w:u w:val="single"/>
          <w:lang w:val="en-GB"/>
        </w:rPr>
        <w:t xml:space="preserve"> </w:t>
      </w:r>
      <w:r w:rsidR="009E35A8" w:rsidRPr="009E35A8">
        <w:rPr>
          <w:rFonts w:ascii="Arial" w:eastAsia="Aptos" w:hAnsi="Arial" w:cs="Arial"/>
          <w:lang w:val="en-GB"/>
        </w:rPr>
        <w:t>Overall, these findings suggest that the Kv7 channel openers C60 and JNJ, by reducing ER stress and oxidative damage, may represent new potential therapeutic tools in ALS. Experiments on human iPSC-derived motor neurons carrying ALS-causing mutation (TARDBP) and in vivo models of ALS (SOD1-G93A mice) are ongoing to further support our findings and validate the therapeutic potential of these Kv7 channel activators.</w:t>
      </w:r>
    </w:p>
    <w:p w14:paraId="77BE2BF3" w14:textId="77777777" w:rsidR="00736922" w:rsidRPr="009E35A8" w:rsidRDefault="00736922" w:rsidP="009E35A8">
      <w:pPr>
        <w:jc w:val="both"/>
        <w:rPr>
          <w:rFonts w:ascii="Arial" w:hAnsi="Arial" w:cs="Arial"/>
          <w:u w:val="single"/>
          <w:lang w:val="en-GB"/>
        </w:rPr>
      </w:pPr>
    </w:p>
    <w:sectPr w:rsidR="00736922" w:rsidRPr="009E35A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886E" w14:textId="77777777" w:rsidR="008B0912" w:rsidRDefault="008B0912" w:rsidP="003D1FF6">
      <w:pPr>
        <w:spacing w:after="0" w:line="240" w:lineRule="auto"/>
      </w:pPr>
      <w:r>
        <w:separator/>
      </w:r>
    </w:p>
  </w:endnote>
  <w:endnote w:type="continuationSeparator" w:id="0">
    <w:p w14:paraId="28D07885" w14:textId="77777777" w:rsidR="008B0912" w:rsidRDefault="008B0912"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8B4D" w14:textId="77777777" w:rsidR="008B0912" w:rsidRDefault="008B0912" w:rsidP="003D1FF6">
      <w:pPr>
        <w:spacing w:after="0" w:line="240" w:lineRule="auto"/>
      </w:pPr>
      <w:r>
        <w:separator/>
      </w:r>
    </w:p>
  </w:footnote>
  <w:footnote w:type="continuationSeparator" w:id="0">
    <w:p w14:paraId="55DBC23A" w14:textId="77777777" w:rsidR="008B0912" w:rsidRDefault="008B0912"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Intestazione"/>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3D1FF6"/>
    <w:rsid w:val="005E6E54"/>
    <w:rsid w:val="00736922"/>
    <w:rsid w:val="00823644"/>
    <w:rsid w:val="008729AE"/>
    <w:rsid w:val="008B0912"/>
    <w:rsid w:val="009E35A8"/>
    <w:rsid w:val="00CA63B4"/>
    <w:rsid w:val="00E5603A"/>
    <w:rsid w:val="00EA09C1"/>
    <w:rsid w:val="00F85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6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36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36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36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36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36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36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36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36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36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36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3644"/>
    <w:rPr>
      <w:i/>
      <w:iCs/>
      <w:color w:val="404040" w:themeColor="text1" w:themeTint="BF"/>
    </w:rPr>
  </w:style>
  <w:style w:type="paragraph" w:styleId="Paragrafoelenco">
    <w:name w:val="List Paragraph"/>
    <w:basedOn w:val="Normale"/>
    <w:uiPriority w:val="34"/>
    <w:qFormat/>
    <w:rsid w:val="00823644"/>
    <w:pPr>
      <w:ind w:left="720"/>
      <w:contextualSpacing/>
    </w:pPr>
  </w:style>
  <w:style w:type="character" w:styleId="Enfasiintensa">
    <w:name w:val="Intense Emphasis"/>
    <w:basedOn w:val="Carpredefinitoparagrafo"/>
    <w:uiPriority w:val="21"/>
    <w:qFormat/>
    <w:rsid w:val="00823644"/>
    <w:rPr>
      <w:i/>
      <w:iCs/>
      <w:color w:val="0F4761" w:themeColor="accent1" w:themeShade="BF"/>
    </w:rPr>
  </w:style>
  <w:style w:type="paragraph" w:styleId="Citazioneintensa">
    <w:name w:val="Intense Quote"/>
    <w:basedOn w:val="Normale"/>
    <w:next w:val="Normale"/>
    <w:link w:val="CitazioneintensaCarattere"/>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3644"/>
    <w:rPr>
      <w:i/>
      <w:iCs/>
      <w:color w:val="0F4761" w:themeColor="accent1" w:themeShade="BF"/>
    </w:rPr>
  </w:style>
  <w:style w:type="character" w:styleId="Riferimentointenso">
    <w:name w:val="Intense Reference"/>
    <w:basedOn w:val="Carpredefinitoparagrafo"/>
    <w:uiPriority w:val="32"/>
    <w:qFormat/>
    <w:rsid w:val="00823644"/>
    <w:rPr>
      <w:b/>
      <w:bCs/>
      <w:smallCaps/>
      <w:color w:val="0F4761" w:themeColor="accent1" w:themeShade="BF"/>
      <w:spacing w:val="5"/>
    </w:rPr>
  </w:style>
  <w:style w:type="paragraph" w:styleId="Intestazione">
    <w:name w:val="header"/>
    <w:basedOn w:val="Normale"/>
    <w:link w:val="IntestazioneCarattere"/>
    <w:uiPriority w:val="99"/>
    <w:unhideWhenUsed/>
    <w:rsid w:val="003D1F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FF6"/>
  </w:style>
  <w:style w:type="paragraph" w:styleId="Pidipagina">
    <w:name w:val="footer"/>
    <w:basedOn w:val="Normale"/>
    <w:link w:val="PidipaginaCarattere"/>
    <w:uiPriority w:val="99"/>
    <w:unhideWhenUsed/>
    <w:rsid w:val="003D1F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CAMILLA CELENTANO</cp:lastModifiedBy>
  <cp:revision>3</cp:revision>
  <dcterms:created xsi:type="dcterms:W3CDTF">2025-11-28T15:30:00Z</dcterms:created>
  <dcterms:modified xsi:type="dcterms:W3CDTF">2026-04-29T13:39:00Z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