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5D5E" w14:textId="258ED1C2" w:rsidR="006A0C79" w:rsidRPr="006A0C79" w:rsidRDefault="006A0C79" w:rsidP="006A0C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R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ESOLVING 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Ca²</w:t>
      </w:r>
      <w:r w:rsidRPr="006A0C79">
        <w:rPr>
          <w:rStyle w:val="normaltextrun"/>
          <w:rFonts w:ascii="Cambria Math" w:eastAsiaTheme="majorEastAsia" w:hAnsi="Cambria Math" w:cs="Cambria Math"/>
          <w:b/>
          <w:bCs/>
          <w:sz w:val="22"/>
          <w:szCs w:val="22"/>
          <w:lang w:val="en"/>
        </w:rPr>
        <w:t>⁺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-D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EPENDENT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 C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ALMODULIN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 R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EGULATORY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 S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TATES OF 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K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V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7.2 U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SING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 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A 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FRET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 xml:space="preserve">-BASED 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A</w:t>
      </w:r>
      <w:r w:rsidRPr="006A0C79"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"/>
        </w:rPr>
        <w:t>PPROACH</w:t>
      </w:r>
      <w:r w:rsidRPr="006A0C79">
        <w:rPr>
          <w:rStyle w:val="eop"/>
          <w:rFonts w:ascii="Arial" w:eastAsiaTheme="majorEastAsia" w:hAnsi="Arial" w:cs="Arial"/>
          <w:b/>
          <w:bCs/>
          <w:sz w:val="22"/>
          <w:szCs w:val="22"/>
        </w:rPr>
        <w:br/>
      </w:r>
    </w:p>
    <w:p w14:paraId="17C6BD1C" w14:textId="2B66615A" w:rsidR="006A0C79" w:rsidRDefault="006A0C79" w:rsidP="006A0C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Authors: </w:t>
      </w:r>
      <w:r>
        <w:rPr>
          <w:rStyle w:val="scxw226406835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Emily Walsh</w:t>
      </w:r>
      <w:r>
        <w:rPr>
          <w:rStyle w:val="normaltextrun"/>
          <w:rFonts w:ascii="Arial" w:eastAsiaTheme="majorEastAsia" w:hAnsi="Arial" w:cs="Arial"/>
          <w:sz w:val="17"/>
          <w:szCs w:val="17"/>
          <w:vertAlign w:val="superscript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Phuc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Phan</w:t>
      </w:r>
      <w:r>
        <w:rPr>
          <w:rStyle w:val="normaltextrun"/>
          <w:rFonts w:ascii="Arial" w:eastAsiaTheme="majorEastAsia" w:hAnsi="Arial" w:cs="Arial"/>
          <w:sz w:val="17"/>
          <w:szCs w:val="17"/>
          <w:vertAlign w:val="superscript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, Crystal Archer</w:t>
      </w:r>
      <w:r>
        <w:rPr>
          <w:rStyle w:val="normaltextrun"/>
          <w:rFonts w:ascii="Arial" w:eastAsiaTheme="majorEastAsia" w:hAnsi="Arial" w:cs="Arial"/>
          <w:sz w:val="17"/>
          <w:szCs w:val="17"/>
          <w:vertAlign w:val="superscript"/>
        </w:rPr>
        <w:t>1</w:t>
      </w:r>
      <w:r>
        <w:rPr>
          <w:rStyle w:val="eop"/>
          <w:rFonts w:ascii="Arial" w:eastAsiaTheme="majorEastAsia" w:hAnsi="Arial" w:cs="Arial"/>
          <w:sz w:val="17"/>
          <w:szCs w:val="17"/>
        </w:rPr>
        <w:t> </w:t>
      </w:r>
      <w:r>
        <w:rPr>
          <w:rStyle w:val="eop"/>
          <w:rFonts w:ascii="Arial" w:eastAsiaTheme="majorEastAsia" w:hAnsi="Arial" w:cs="Arial"/>
          <w:sz w:val="17"/>
          <w:szCs w:val="17"/>
        </w:rPr>
        <w:br/>
      </w:r>
    </w:p>
    <w:p w14:paraId="3E51AC78" w14:textId="11B17A96" w:rsidR="006A0C79" w:rsidRDefault="006A0C79" w:rsidP="006A0C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Affiliation:</w:t>
      </w:r>
      <w:r>
        <w:rPr>
          <w:rStyle w:val="scxw226406835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17"/>
          <w:szCs w:val="17"/>
          <w:vertAlign w:val="superscript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Department of Chemistry &amp; Biochemistry, University of Arkansas, Fayetteville, AR, USA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sz w:val="22"/>
          <w:szCs w:val="22"/>
        </w:rPr>
        <w:br/>
      </w:r>
    </w:p>
    <w:p w14:paraId="5E525481" w14:textId="5B96234C" w:rsidR="006A0C79" w:rsidRPr="006A0C79" w:rsidRDefault="006A0C79" w:rsidP="006A0C79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Introduction</w:t>
      </w:r>
      <w:r>
        <w:rPr>
          <w:rStyle w:val="scxw226406835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Kv7.2 potassium channels are key determinants of neuronal excitability, and their dysfunction leads to severe epileptic disorders. Calmodulin (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 binds to helices A and B within the C-terminus of Kv7 channels and is required for proper channel function. Specifically, the conserved polycationic cluster of residues on the distal B helix of Kv7 has been shown to be a crucial binding and functional site for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 and PIP2. Pathogenic mutations of these residues on Kv7.2 reduce channel activities and are linked to neuronal diseases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such as epileptic encephalopathy. How these pathogenic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mutations regulate CaM-Kv7.2 binding, and whether they can cause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to dissociate or partially disengage, remain unresolved. We hypothesized that mutations of the distal B helix that are associated with 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epileptic encephalopathy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induce distinct structural conformations of Kv7.2-CaM that have not been captured by current structural models.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br/>
      </w:r>
    </w:p>
    <w:p w14:paraId="1780BBB2" w14:textId="79F09276" w:rsidR="006A0C79" w:rsidRDefault="006A0C79" w:rsidP="006A0C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Methods</w:t>
      </w:r>
      <w:r>
        <w:rPr>
          <w:rStyle w:val="scxw226406835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 probe these novel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-dependent regulatory states in epileptic encephalopathies, we utilized a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Förster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Resonance Energy Transfer (FRET)-based biosensor using the Kv7.2 A-B regulatory domain flanked by donor (CFP) and acceptor fluorophores (YFP), called FRET-Q2RD. This construct enables real-time detection of conformational changes and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binding through nanometer-scale distance measurements. Pathogenic mutants of FRET-Q2RD localized to the distal B helix were introduced to assess their effects on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binding. Proteins were expressed in </w:t>
      </w:r>
      <w:r>
        <w:rPr>
          <w:rStyle w:val="normaltextrun"/>
          <w:rFonts w:ascii="Arial" w:eastAsiaTheme="majorEastAsia" w:hAnsi="Arial" w:cs="Arial"/>
          <w:i/>
          <w:iCs/>
          <w:color w:val="000000"/>
          <w:sz w:val="22"/>
          <w:szCs w:val="22"/>
        </w:rPr>
        <w:t>E. coli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and purified using affinity chromatography for in vitro FRET measurements. FRET efficiency was quantified using a multi-mode plate reader across defined Ca²</w:t>
      </w:r>
      <w:r>
        <w:rPr>
          <w:rStyle w:val="normaltextrun"/>
          <w:rFonts w:ascii="Cambria Math" w:eastAsiaTheme="majorEastAsia" w:hAnsi="Cambria Math" w:cs="Cambria Math"/>
          <w:color w:val="000000"/>
          <w:sz w:val="22"/>
          <w:szCs w:val="22"/>
        </w:rPr>
        <w:t>⁺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concentrations and pathogenic mutations to assess changes in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binding state and complex stability.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br/>
      </w:r>
    </w:p>
    <w:p w14:paraId="40AD658B" w14:textId="1D2FC369" w:rsidR="006A0C79" w:rsidRDefault="006A0C79" w:rsidP="006A0C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Results</w:t>
      </w:r>
      <w:r>
        <w:rPr>
          <w:rStyle w:val="scxw226406835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>We designed a FRET-based biosensor system to probe novel binding configurations between 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>CaM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  <w:lang w:val="en"/>
        </w:rPr>
        <w:t> and the Kv7.2 AB domain utilizing pathogenic mutations in a critical overlapping CaM-PIP2 binding domain. Using the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FRET-Q2RD we aimed to assess the Ca²</w:t>
      </w:r>
      <w:r>
        <w:rPr>
          <w:rStyle w:val="normaltextrun"/>
          <w:rFonts w:ascii="Cambria Math" w:eastAsiaTheme="majorEastAsia" w:hAnsi="Cambria Math" w:cs="Cambria Math"/>
          <w:color w:val="000000"/>
          <w:sz w:val="22"/>
          <w:szCs w:val="22"/>
        </w:rPr>
        <w:t>⁺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-dependent changes in energy transfer efficiency, which are expected to reflect shifts in conformation of the complex between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and Kv7.2 A-B regulatory domain. We proposed that pathogenic mutations on FRET-Q2RD would alter FRET efficiency patterns within the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-AB complex, providing insight into how these mutations contribute to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binding and configuration changes and leading to pathogenic 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epileptic encephalopathy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br/>
      </w:r>
    </w:p>
    <w:p w14:paraId="77BE2BF3" w14:textId="7B49783F" w:rsidR="00736922" w:rsidRPr="006A0C79" w:rsidRDefault="006A0C79" w:rsidP="006A0C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Conclusions</w:t>
      </w:r>
      <w:r>
        <w:rPr>
          <w:rStyle w:val="scxw226406835"/>
          <w:rFonts w:ascii="Arial" w:eastAsiaTheme="majorEastAsia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This work establishes a protein-FRET based framework for understanding diverse modes of 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CaM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-dependent regulatory states of Kv7.2. By linking pathogenic mutations of the conserved KRK region to structural outcomes, it provides a dynamic view of channel regulation and a foundation to understand the structure-function relationship of Kv7.2-associated 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epileptic encephalopathy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r>
        <w:rPr>
          <w:rStyle w:val="eop"/>
          <w:rFonts w:ascii="Arial" w:eastAsiaTheme="majorEastAsia" w:hAnsi="Arial" w:cs="Arial"/>
          <w:color w:val="D13438"/>
          <w:sz w:val="22"/>
          <w:szCs w:val="22"/>
        </w:rPr>
        <w:t> </w:t>
      </w:r>
    </w:p>
    <w:sectPr w:rsidR="00736922" w:rsidRPr="006A0C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BA7C" w14:textId="77777777" w:rsidR="006B2E3E" w:rsidRDefault="006B2E3E" w:rsidP="003D1FF6">
      <w:pPr>
        <w:spacing w:after="0" w:line="240" w:lineRule="auto"/>
      </w:pPr>
      <w:r>
        <w:separator/>
      </w:r>
    </w:p>
  </w:endnote>
  <w:endnote w:type="continuationSeparator" w:id="0">
    <w:p w14:paraId="6BA5B6ED" w14:textId="77777777" w:rsidR="006B2E3E" w:rsidRDefault="006B2E3E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0D7B" w14:textId="77777777" w:rsidR="006B2E3E" w:rsidRDefault="006B2E3E" w:rsidP="003D1FF6">
      <w:pPr>
        <w:spacing w:after="0" w:line="240" w:lineRule="auto"/>
      </w:pPr>
      <w:r>
        <w:separator/>
      </w:r>
    </w:p>
  </w:footnote>
  <w:footnote w:type="continuationSeparator" w:id="0">
    <w:p w14:paraId="70423BFE" w14:textId="77777777" w:rsidR="006B2E3E" w:rsidRDefault="006B2E3E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241D7C"/>
    <w:rsid w:val="003D1FF6"/>
    <w:rsid w:val="005E6E54"/>
    <w:rsid w:val="006A0C79"/>
    <w:rsid w:val="006B2E3E"/>
    <w:rsid w:val="00736922"/>
    <w:rsid w:val="00823644"/>
    <w:rsid w:val="008729AE"/>
    <w:rsid w:val="00CA63B4"/>
    <w:rsid w:val="00E5603A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paragraph" w:customStyle="1" w:styleId="paragraph">
    <w:name w:val="paragraph"/>
    <w:basedOn w:val="Normal"/>
    <w:rsid w:val="006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6A0C79"/>
  </w:style>
  <w:style w:type="character" w:customStyle="1" w:styleId="scxw226406835">
    <w:name w:val="scxw226406835"/>
    <w:basedOn w:val="DefaultParagraphFont"/>
    <w:rsid w:val="006A0C79"/>
  </w:style>
  <w:style w:type="character" w:customStyle="1" w:styleId="eop">
    <w:name w:val="eop"/>
    <w:basedOn w:val="DefaultParagraphFont"/>
    <w:rsid w:val="006A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Emily Grace Walsh</cp:lastModifiedBy>
  <cp:revision>2</cp:revision>
  <dcterms:created xsi:type="dcterms:W3CDTF">2026-04-17T17:01:00Z</dcterms:created>
  <dcterms:modified xsi:type="dcterms:W3CDTF">2026-04-17T17:01:00Z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