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6CFE49E0" w:rsidR="00823644" w:rsidRPr="00F1609F" w:rsidRDefault="00F1609F" w:rsidP="00823644">
      <w:pPr>
        <w:rPr>
          <w:b/>
          <w:bCs/>
          <w:lang w:val="en-US"/>
        </w:rPr>
      </w:pPr>
      <w:r w:rsidRPr="00F1609F">
        <w:rPr>
          <w:b/>
          <w:bCs/>
          <w:lang w:val="en-US"/>
        </w:rPr>
        <w:t xml:space="preserve">At the intersection between sodium and potassium channels: M-current downregulation drives cortical hyperexcitability in </w:t>
      </w:r>
      <w:r w:rsidR="00F560FC">
        <w:rPr>
          <w:b/>
          <w:bCs/>
          <w:lang w:val="en-US"/>
        </w:rPr>
        <w:t xml:space="preserve">the </w:t>
      </w:r>
      <w:r w:rsidRPr="00F1609F">
        <w:rPr>
          <w:b/>
          <w:bCs/>
          <w:lang w:val="en-US"/>
        </w:rPr>
        <w:t>sodium channelopathy Dravet Syndrome</w:t>
      </w:r>
    </w:p>
    <w:p w14:paraId="471F321B" w14:textId="5EAEB1D3" w:rsidR="00D04692" w:rsidRPr="00D04692" w:rsidRDefault="00D04692" w:rsidP="00D04692">
      <w:pPr>
        <w:rPr>
          <w:rFonts w:ascii="Arial" w:hAnsi="Arial" w:cs="Arial"/>
          <w:lang w:val="en-US"/>
        </w:rPr>
      </w:pPr>
      <w:r w:rsidRPr="00696C68">
        <w:rPr>
          <w:rFonts w:ascii="Arial" w:hAnsi="Arial" w:cs="Arial"/>
          <w:u w:val="single"/>
          <w:lang w:val="en-US"/>
        </w:rPr>
        <w:t>Stefano Iavarone,</w:t>
      </w:r>
      <w:r w:rsidRPr="00D04692">
        <w:rPr>
          <w:rFonts w:ascii="Arial" w:hAnsi="Arial" w:cs="Arial"/>
          <w:vertAlign w:val="superscript"/>
          <w:lang w:val="en-US"/>
        </w:rPr>
        <w:t>1</w:t>
      </w:r>
      <w:r w:rsidR="00696C68">
        <w:rPr>
          <w:rFonts w:ascii="Arial" w:hAnsi="Arial" w:cs="Arial"/>
          <w:vertAlign w:val="superscript"/>
          <w:lang w:val="en-US"/>
        </w:rPr>
        <w:t>*</w:t>
      </w:r>
      <w:r w:rsidRPr="00D04692">
        <w:rPr>
          <w:rFonts w:ascii="Arial" w:hAnsi="Arial" w:cs="Arial"/>
          <w:lang w:val="en-US"/>
        </w:rPr>
        <w:t xml:space="preserve"> Peter Müller-Wöhrstein,</w:t>
      </w:r>
      <w:r w:rsidRPr="00D04692">
        <w:rPr>
          <w:rFonts w:ascii="Arial" w:hAnsi="Arial" w:cs="Arial"/>
          <w:vertAlign w:val="superscript"/>
          <w:lang w:val="en-US"/>
        </w:rPr>
        <w:t>1</w:t>
      </w:r>
      <w:r w:rsidR="00696C68">
        <w:rPr>
          <w:rFonts w:ascii="Arial" w:hAnsi="Arial" w:cs="Arial"/>
          <w:vertAlign w:val="superscript"/>
          <w:lang w:val="en-US"/>
        </w:rPr>
        <w:t>*</w:t>
      </w:r>
      <w:r w:rsidRPr="00D04692">
        <w:rPr>
          <w:rFonts w:ascii="Arial" w:hAnsi="Arial" w:cs="Arial"/>
          <w:lang w:val="en-US"/>
        </w:rPr>
        <w:t xml:space="preserve"> Oleg Vinogradov,</w:t>
      </w:r>
      <w:r w:rsidRPr="00D04692">
        <w:rPr>
          <w:rFonts w:ascii="Arial" w:hAnsi="Arial" w:cs="Arial"/>
          <w:vertAlign w:val="superscript"/>
          <w:lang w:val="en-US"/>
        </w:rPr>
        <w:t>1</w:t>
      </w:r>
      <w:r w:rsidRPr="00D04692">
        <w:rPr>
          <w:rFonts w:ascii="Arial" w:hAnsi="Arial" w:cs="Arial"/>
          <w:lang w:val="en-US"/>
        </w:rPr>
        <w:t xml:space="preserve"> Edueni Erharhaghen,</w:t>
      </w:r>
      <w:r w:rsidRPr="00D04692">
        <w:rPr>
          <w:rFonts w:ascii="Arial" w:hAnsi="Arial" w:cs="Arial"/>
          <w:vertAlign w:val="superscript"/>
          <w:lang w:val="en-US"/>
        </w:rPr>
        <w:t>1</w:t>
      </w:r>
      <w:r w:rsidRPr="00D04692">
        <w:rPr>
          <w:rFonts w:ascii="Arial" w:hAnsi="Arial" w:cs="Arial"/>
          <w:lang w:val="en-US"/>
        </w:rPr>
        <w:t xml:space="preserve"> Nikolas Layer</w:t>
      </w:r>
      <w:r w:rsidRPr="00D04692">
        <w:rPr>
          <w:rFonts w:ascii="Arial" w:hAnsi="Arial" w:cs="Arial"/>
          <w:vertAlign w:val="superscript"/>
          <w:lang w:val="en-US"/>
        </w:rPr>
        <w:t>1,</w:t>
      </w:r>
      <w:r w:rsidR="00117B18">
        <w:rPr>
          <w:rFonts w:ascii="Arial" w:hAnsi="Arial" w:cs="Arial"/>
          <w:vertAlign w:val="superscript"/>
          <w:lang w:val="en-US"/>
        </w:rPr>
        <w:t>2</w:t>
      </w:r>
      <w:r w:rsidRPr="00D04692">
        <w:rPr>
          <w:rFonts w:ascii="Arial" w:hAnsi="Arial" w:cs="Arial"/>
          <w:lang w:val="en-US"/>
        </w:rPr>
        <w:t>, Albina Farkhutidnova,</w:t>
      </w:r>
      <w:r w:rsidRPr="00D04692">
        <w:rPr>
          <w:rFonts w:ascii="Arial" w:hAnsi="Arial" w:cs="Arial"/>
          <w:vertAlign w:val="superscript"/>
          <w:lang w:val="en-US"/>
        </w:rPr>
        <w:t>1</w:t>
      </w:r>
      <w:r w:rsidRPr="00D04692">
        <w:rPr>
          <w:rFonts w:ascii="Arial" w:hAnsi="Arial" w:cs="Arial"/>
          <w:lang w:val="en-US"/>
        </w:rPr>
        <w:t xml:space="preserve"> Francesco Miceli,</w:t>
      </w:r>
      <w:r w:rsidR="008626A7">
        <w:rPr>
          <w:rFonts w:ascii="Arial" w:hAnsi="Arial" w:cs="Arial"/>
          <w:vertAlign w:val="superscript"/>
          <w:lang w:val="en-US"/>
        </w:rPr>
        <w:t>3</w:t>
      </w:r>
      <w:r w:rsidRPr="00D04692">
        <w:rPr>
          <w:rFonts w:ascii="Arial" w:hAnsi="Arial" w:cs="Arial"/>
          <w:lang w:val="en-US"/>
        </w:rPr>
        <w:t xml:space="preserve"> Maurizio Taglialatela,</w:t>
      </w:r>
      <w:r w:rsidR="008626A7">
        <w:rPr>
          <w:rFonts w:ascii="Arial" w:hAnsi="Arial" w:cs="Arial"/>
          <w:vertAlign w:val="superscript"/>
          <w:lang w:val="en-US"/>
        </w:rPr>
        <w:t>3</w:t>
      </w:r>
      <w:r w:rsidRPr="00D0469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Carmine Ostacolo,</w:t>
      </w:r>
      <w:r w:rsidR="008626A7"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 xml:space="preserve"> </w:t>
      </w:r>
      <w:r w:rsidRPr="00D04692">
        <w:rPr>
          <w:rFonts w:ascii="Arial" w:hAnsi="Arial" w:cs="Arial"/>
          <w:lang w:val="en-US"/>
        </w:rPr>
        <w:t>Henner Koch,</w:t>
      </w:r>
      <w:r w:rsidR="008626A7">
        <w:rPr>
          <w:rFonts w:ascii="Arial" w:hAnsi="Arial" w:cs="Arial"/>
          <w:vertAlign w:val="superscript"/>
          <w:lang w:val="en-US"/>
        </w:rPr>
        <w:t>5</w:t>
      </w:r>
      <w:r w:rsidRPr="00D04692">
        <w:rPr>
          <w:rFonts w:ascii="Arial" w:hAnsi="Arial" w:cs="Arial"/>
          <w:lang w:val="en-US"/>
        </w:rPr>
        <w:t xml:space="preserve"> Holger Lerche,</w:t>
      </w:r>
      <w:r w:rsidRPr="00D04692">
        <w:rPr>
          <w:rFonts w:ascii="Arial" w:hAnsi="Arial" w:cs="Arial"/>
          <w:vertAlign w:val="superscript"/>
          <w:lang w:val="en-US"/>
        </w:rPr>
        <w:t>1</w:t>
      </w:r>
      <w:r w:rsidRPr="00D04692">
        <w:rPr>
          <w:rFonts w:ascii="Arial" w:hAnsi="Arial" w:cs="Arial"/>
          <w:lang w:val="en-US"/>
        </w:rPr>
        <w:t xml:space="preserve"> Thomas V. Wuttke,</w:t>
      </w:r>
      <w:r w:rsidRPr="00D04692">
        <w:rPr>
          <w:rFonts w:ascii="Arial" w:hAnsi="Arial" w:cs="Arial"/>
          <w:vertAlign w:val="superscript"/>
          <w:lang w:val="en-US"/>
        </w:rPr>
        <w:t>1,</w:t>
      </w:r>
      <w:r w:rsidR="008626A7">
        <w:rPr>
          <w:rFonts w:ascii="Arial" w:hAnsi="Arial" w:cs="Arial"/>
          <w:vertAlign w:val="superscript"/>
          <w:lang w:val="en-US"/>
        </w:rPr>
        <w:t>6</w:t>
      </w:r>
      <w:r w:rsidRPr="00D04692">
        <w:rPr>
          <w:rFonts w:ascii="Arial" w:hAnsi="Arial" w:cs="Arial"/>
          <w:lang w:val="en-US"/>
        </w:rPr>
        <w:t xml:space="preserve"> Ulrike B.S. Hedrich</w:t>
      </w:r>
      <w:r>
        <w:rPr>
          <w:rFonts w:ascii="Arial" w:hAnsi="Arial" w:cs="Arial"/>
          <w:vertAlign w:val="superscript"/>
          <w:lang w:val="en-US"/>
        </w:rPr>
        <w:t>1</w:t>
      </w:r>
    </w:p>
    <w:p w14:paraId="12D20443" w14:textId="77777777" w:rsidR="00D04692" w:rsidRPr="00D04692" w:rsidRDefault="00D04692" w:rsidP="00696C68">
      <w:pPr>
        <w:spacing w:after="0" w:line="240" w:lineRule="auto"/>
        <w:ind w:right="-3326"/>
        <w:jc w:val="both"/>
        <w:rPr>
          <w:rFonts w:ascii="Arial" w:eastAsia="MS Mincho" w:hAnsi="Arial" w:cs="Arial"/>
          <w:color w:val="000000"/>
          <w:sz w:val="16"/>
          <w:szCs w:val="18"/>
          <w:lang w:val="en-US"/>
        </w:rPr>
      </w:pPr>
      <w:r w:rsidRPr="00D04692">
        <w:rPr>
          <w:rFonts w:ascii="Arial" w:eastAsia="MS Mincho" w:hAnsi="Arial" w:cs="Arial"/>
          <w:color w:val="000000"/>
          <w:sz w:val="16"/>
          <w:szCs w:val="18"/>
          <w:vertAlign w:val="superscript"/>
          <w:lang w:val="en-US"/>
        </w:rPr>
        <w:t>1</w:t>
      </w:r>
      <w:r w:rsidRPr="00D04692">
        <w:rPr>
          <w:rFonts w:ascii="Arial" w:eastAsia="MS Mincho" w:hAnsi="Arial" w:cs="Arial"/>
          <w:color w:val="000000"/>
          <w:sz w:val="16"/>
          <w:szCs w:val="18"/>
          <w:lang w:val="en-US"/>
        </w:rPr>
        <w:t>Department of Neurology and Epileptology, Hertie Institute for Clinical Brain Research, University of Tübingen, Tübingen, Germany.</w:t>
      </w:r>
    </w:p>
    <w:p w14:paraId="1882B600" w14:textId="183E477D" w:rsidR="00117B18" w:rsidRPr="008626A7" w:rsidRDefault="00D04692" w:rsidP="00696C68">
      <w:pPr>
        <w:spacing w:after="0" w:line="240" w:lineRule="auto"/>
        <w:ind w:right="-3326"/>
        <w:jc w:val="both"/>
        <w:rPr>
          <w:rFonts w:ascii="Arial" w:eastAsia="MS Mincho" w:hAnsi="Arial" w:cs="Arial"/>
          <w:color w:val="000000"/>
          <w:sz w:val="16"/>
          <w:szCs w:val="18"/>
          <w:lang w:val="en-US"/>
        </w:rPr>
      </w:pPr>
      <w:r w:rsidRPr="00D04692">
        <w:rPr>
          <w:rFonts w:ascii="Arial" w:eastAsia="MS Mincho" w:hAnsi="Arial" w:cs="Arial"/>
          <w:color w:val="000000"/>
          <w:sz w:val="16"/>
          <w:szCs w:val="18"/>
          <w:vertAlign w:val="superscript"/>
          <w:lang w:val="en-US"/>
        </w:rPr>
        <w:t>2</w:t>
      </w:r>
      <w:r w:rsidR="00CC6EB0" w:rsidRPr="00CC6EB0">
        <w:rPr>
          <w:rFonts w:ascii="Arial" w:eastAsia="MS Mincho" w:hAnsi="Arial" w:cs="Arial"/>
          <w:color w:val="000000"/>
          <w:sz w:val="16"/>
          <w:szCs w:val="18"/>
          <w:lang w:val="en-US"/>
        </w:rPr>
        <w:t>Neurology Clinic and National Center for Tumor Diseases, University Hospital Heidelberg, Heidelberg, Germany; Department of Functional Neuroanatomy, Institute for Anatomy and Cell Biology, Heidelberg University, Heidelberg, Germany.</w:t>
      </w:r>
    </w:p>
    <w:p w14:paraId="1DFA38A3" w14:textId="0F5D8B81" w:rsidR="00D04692" w:rsidRPr="00D04692" w:rsidRDefault="008626A7" w:rsidP="00696C68">
      <w:pPr>
        <w:spacing w:after="0" w:line="240" w:lineRule="auto"/>
        <w:ind w:right="-3326"/>
        <w:jc w:val="both"/>
        <w:rPr>
          <w:rFonts w:ascii="Arial" w:eastAsia="MS Mincho" w:hAnsi="Arial" w:cs="Arial"/>
          <w:color w:val="000000"/>
          <w:sz w:val="16"/>
          <w:szCs w:val="18"/>
          <w:lang w:val="en-US"/>
        </w:rPr>
      </w:pPr>
      <w:r>
        <w:rPr>
          <w:rFonts w:ascii="Arial" w:eastAsia="MS Mincho" w:hAnsi="Arial" w:cs="Arial"/>
          <w:color w:val="000000"/>
          <w:sz w:val="16"/>
          <w:szCs w:val="18"/>
          <w:vertAlign w:val="superscript"/>
          <w:lang w:val="en-US"/>
        </w:rPr>
        <w:t>3</w:t>
      </w:r>
      <w:r w:rsidR="00D04692" w:rsidRPr="00D04692">
        <w:rPr>
          <w:rFonts w:ascii="Arial" w:eastAsia="MS Mincho" w:hAnsi="Arial" w:cs="Arial"/>
          <w:color w:val="000000"/>
          <w:sz w:val="16"/>
          <w:szCs w:val="18"/>
          <w:lang w:val="en-US"/>
        </w:rPr>
        <w:t>Department of Neuroscience, University of Naples "Federico II", Naples, Italy.</w:t>
      </w:r>
    </w:p>
    <w:p w14:paraId="77803B70" w14:textId="2247E7B6" w:rsidR="00BA2AA1" w:rsidRPr="00137408" w:rsidRDefault="008626A7" w:rsidP="00BA2AA1">
      <w:pPr>
        <w:spacing w:after="0" w:line="240" w:lineRule="auto"/>
        <w:ind w:right="-3326"/>
        <w:jc w:val="both"/>
        <w:rPr>
          <w:rFonts w:ascii="Arial" w:eastAsia="MS Mincho" w:hAnsi="Arial" w:cs="Arial"/>
          <w:color w:val="000000"/>
          <w:sz w:val="16"/>
          <w:szCs w:val="18"/>
          <w:lang w:val="de-DE"/>
        </w:rPr>
      </w:pPr>
      <w:r>
        <w:rPr>
          <w:rFonts w:ascii="Arial" w:eastAsia="MS Mincho" w:hAnsi="Arial" w:cs="Arial"/>
          <w:color w:val="000000"/>
          <w:sz w:val="16"/>
          <w:szCs w:val="18"/>
          <w:vertAlign w:val="superscript"/>
          <w:lang w:val="de-DE"/>
        </w:rPr>
        <w:t>4</w:t>
      </w:r>
      <w:r w:rsidR="00BA2AA1" w:rsidRPr="00137408">
        <w:rPr>
          <w:rFonts w:ascii="Arial" w:eastAsia="MS Mincho" w:hAnsi="Arial" w:cs="Arial"/>
          <w:color w:val="000000"/>
          <w:sz w:val="16"/>
          <w:szCs w:val="18"/>
          <w:lang w:val="de-DE"/>
        </w:rPr>
        <w:t>Department of Epileptology, Neurology, Rheinisch-Westfälische Technische Hochschule Aachen, Aachen, Germany.</w:t>
      </w:r>
    </w:p>
    <w:p w14:paraId="09039B07" w14:textId="3B91008B" w:rsidR="00D04692" w:rsidRPr="00BF25AF" w:rsidRDefault="008626A7" w:rsidP="00696C68">
      <w:pPr>
        <w:spacing w:after="0" w:line="240" w:lineRule="auto"/>
        <w:ind w:right="-3326"/>
        <w:jc w:val="both"/>
        <w:rPr>
          <w:rFonts w:ascii="Arial" w:eastAsia="MS Mincho" w:hAnsi="Arial" w:cs="Arial"/>
          <w:color w:val="000000"/>
          <w:sz w:val="16"/>
          <w:szCs w:val="18"/>
          <w:lang w:val="en-US"/>
        </w:rPr>
      </w:pPr>
      <w:r>
        <w:rPr>
          <w:rFonts w:ascii="Arial" w:eastAsia="MS Mincho" w:hAnsi="Arial" w:cs="Arial"/>
          <w:color w:val="000000"/>
          <w:sz w:val="16"/>
          <w:szCs w:val="18"/>
          <w:vertAlign w:val="superscript"/>
          <w:lang w:val="en-US"/>
        </w:rPr>
        <w:t>5</w:t>
      </w:r>
      <w:r w:rsidR="00BA2AA1" w:rsidRPr="00D04692">
        <w:rPr>
          <w:rFonts w:ascii="Arial" w:eastAsia="MS Mincho" w:hAnsi="Arial" w:cs="Arial"/>
          <w:color w:val="000000"/>
          <w:sz w:val="16"/>
          <w:szCs w:val="18"/>
          <w:lang w:val="en-US"/>
        </w:rPr>
        <w:t>Department of Neurosurgery, University of Tübingen, Tübingen, Germany</w:t>
      </w:r>
    </w:p>
    <w:p w14:paraId="2D6F9643" w14:textId="44CE9CA7" w:rsidR="00696C68" w:rsidRDefault="008626A7" w:rsidP="00696C68">
      <w:pPr>
        <w:spacing w:line="240" w:lineRule="auto"/>
        <w:ind w:right="-3326"/>
        <w:jc w:val="both"/>
        <w:rPr>
          <w:rFonts w:ascii="Arial" w:eastAsia="MS Mincho" w:hAnsi="Arial" w:cs="Arial"/>
          <w:color w:val="000000"/>
          <w:sz w:val="16"/>
          <w:szCs w:val="16"/>
          <w:lang w:val="en-GB"/>
        </w:rPr>
      </w:pPr>
      <w:r>
        <w:rPr>
          <w:rFonts w:ascii="Arial" w:eastAsia="MS Mincho" w:hAnsi="Arial" w:cs="Arial"/>
          <w:color w:val="000000"/>
          <w:sz w:val="14"/>
          <w:szCs w:val="16"/>
          <w:vertAlign w:val="superscript"/>
          <w:lang w:val="en-US"/>
        </w:rPr>
        <w:t>6</w:t>
      </w:r>
      <w:r w:rsidR="00BA2AA1" w:rsidRPr="00696C68">
        <w:rPr>
          <w:rFonts w:ascii="Arial" w:eastAsia="MS Mincho" w:hAnsi="Arial" w:cs="Arial"/>
          <w:color w:val="000000"/>
          <w:sz w:val="16"/>
          <w:szCs w:val="16"/>
          <w:lang w:val="en-US"/>
        </w:rPr>
        <w:t>Department of Pharmacy, Medicinal Chemistry Section, University of Salerno</w:t>
      </w:r>
      <w:r w:rsidR="00BA2AA1" w:rsidRPr="00696C68">
        <w:rPr>
          <w:rFonts w:ascii="Arial" w:eastAsia="MS Mincho" w:hAnsi="Arial" w:cs="Arial"/>
          <w:color w:val="000000"/>
          <w:sz w:val="16"/>
          <w:szCs w:val="16"/>
          <w:lang w:val="en-GB"/>
        </w:rPr>
        <w:t>, Italy</w:t>
      </w:r>
    </w:p>
    <w:p w14:paraId="394ECB06" w14:textId="2A072171" w:rsidR="00736922" w:rsidRDefault="00696C68" w:rsidP="00BF25AF">
      <w:pPr>
        <w:spacing w:line="240" w:lineRule="auto"/>
        <w:ind w:right="-3326"/>
        <w:jc w:val="both"/>
        <w:rPr>
          <w:lang w:val="en-GB"/>
        </w:rPr>
      </w:pPr>
      <w:r w:rsidRPr="00696C68">
        <w:rPr>
          <w:rFonts w:ascii="Arial" w:eastAsia="MS Mincho" w:hAnsi="Arial" w:cs="Arial"/>
          <w:color w:val="000000"/>
          <w:sz w:val="16"/>
          <w:szCs w:val="16"/>
          <w:lang w:val="en-GB"/>
        </w:rPr>
        <w:t>*</w:t>
      </w:r>
      <w:r>
        <w:rPr>
          <w:rFonts w:ascii="Arial" w:eastAsia="MS Mincho" w:hAnsi="Arial" w:cs="Arial"/>
          <w:color w:val="000000"/>
          <w:sz w:val="16"/>
          <w:szCs w:val="16"/>
          <w:lang w:val="en-GB"/>
        </w:rPr>
        <w:t xml:space="preserve"> </w:t>
      </w:r>
      <w:r w:rsidRPr="00696C68">
        <w:rPr>
          <w:rFonts w:ascii="Arial" w:eastAsia="MS Mincho" w:hAnsi="Arial" w:cs="Arial"/>
          <w:color w:val="000000"/>
          <w:sz w:val="16"/>
          <w:szCs w:val="16"/>
          <w:lang w:val="en-GB"/>
        </w:rPr>
        <w:t>Equal contribution</w:t>
      </w:r>
    </w:p>
    <w:p w14:paraId="71565856" w14:textId="0E6C94D3" w:rsidR="00823644" w:rsidRDefault="00736922" w:rsidP="00F1609F">
      <w:pPr>
        <w:spacing w:line="240" w:lineRule="auto"/>
        <w:jc w:val="both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7890AE00" w14:textId="10674712" w:rsidR="00F1609F" w:rsidRDefault="00F1609F" w:rsidP="00F1609F">
      <w:pPr>
        <w:spacing w:after="0" w:line="240" w:lineRule="auto"/>
        <w:contextualSpacing/>
        <w:jc w:val="both"/>
        <w:rPr>
          <w:rFonts w:cs="Arial"/>
          <w:szCs w:val="16"/>
          <w:lang w:val="en-US"/>
        </w:rPr>
      </w:pPr>
      <w:r w:rsidRPr="00DF2553">
        <w:rPr>
          <w:rFonts w:cs="Arial"/>
          <w:szCs w:val="16"/>
          <w:lang w:val="en-US"/>
        </w:rPr>
        <w:t xml:space="preserve">Dravet Syndrome (DS) is a severe developmental and epileptic encephalopathy caused by loss-of-function </w:t>
      </w:r>
      <w:r>
        <w:rPr>
          <w:rFonts w:cs="Arial"/>
          <w:szCs w:val="16"/>
          <w:lang w:val="en-US"/>
        </w:rPr>
        <w:t>variants</w:t>
      </w:r>
      <w:r w:rsidRPr="00DF2553">
        <w:rPr>
          <w:rFonts w:cs="Arial"/>
          <w:szCs w:val="16"/>
          <w:lang w:val="en-US"/>
        </w:rPr>
        <w:t xml:space="preserve"> in the </w:t>
      </w:r>
      <w:r w:rsidRPr="00DF2553">
        <w:rPr>
          <w:rFonts w:cs="Arial"/>
          <w:i/>
          <w:szCs w:val="16"/>
          <w:lang w:val="en-US"/>
        </w:rPr>
        <w:t>SCN1A</w:t>
      </w:r>
      <w:r w:rsidRPr="00DF2553">
        <w:rPr>
          <w:rFonts w:cs="Arial"/>
          <w:szCs w:val="16"/>
          <w:lang w:val="en-US"/>
        </w:rPr>
        <w:t xml:space="preserve"> gene. Tradition</w:t>
      </w:r>
      <w:bookmarkStart w:id="0" w:name="_GoBack"/>
      <w:bookmarkEnd w:id="0"/>
      <w:r w:rsidRPr="00DF2553">
        <w:rPr>
          <w:rFonts w:cs="Arial"/>
          <w:szCs w:val="16"/>
          <w:lang w:val="en-US"/>
        </w:rPr>
        <w:t>ally, its pathogenesis has been attributed to impaired inhibition from parvalbumin-positive fast-spiking interneurons</w:t>
      </w:r>
      <w:r>
        <w:rPr>
          <w:rFonts w:cs="Arial"/>
          <w:szCs w:val="16"/>
          <w:lang w:val="en-US"/>
        </w:rPr>
        <w:t>.</w:t>
      </w:r>
      <w:r w:rsidRPr="00DF2553">
        <w:rPr>
          <w:rFonts w:cs="Arial"/>
          <w:szCs w:val="16"/>
          <w:lang w:val="en-US"/>
        </w:rPr>
        <w:t xml:space="preserve"> </w:t>
      </w:r>
      <w:r w:rsidRPr="00DB1E67">
        <w:rPr>
          <w:lang w:val="en-US"/>
        </w:rPr>
        <w:t>Recent studies</w:t>
      </w:r>
      <w:r w:rsidR="00A94BE6">
        <w:rPr>
          <w:lang w:val="en-US"/>
        </w:rPr>
        <w:t>,</w:t>
      </w:r>
      <w:r>
        <w:rPr>
          <w:lang w:val="en-US"/>
        </w:rPr>
        <w:t xml:space="preserve"> however,</w:t>
      </w:r>
      <w:r w:rsidRPr="00DB1E67">
        <w:rPr>
          <w:lang w:val="en-US"/>
        </w:rPr>
        <w:t xml:space="preserve"> suggest that this mechanism </w:t>
      </w:r>
      <w:r>
        <w:rPr>
          <w:lang w:val="en-US"/>
        </w:rPr>
        <w:t xml:space="preserve">alone </w:t>
      </w:r>
      <w:r w:rsidRPr="00DB1E67">
        <w:rPr>
          <w:lang w:val="en-US"/>
        </w:rPr>
        <w:t>cannot fully explain lifelong seizures and comorbidities.</w:t>
      </w:r>
      <w:r>
        <w:rPr>
          <w:lang w:val="en-US"/>
        </w:rPr>
        <w:t xml:space="preserve"> </w:t>
      </w:r>
      <w:r w:rsidR="0020775F" w:rsidRPr="0020775F">
        <w:rPr>
          <w:lang w:val="en-US"/>
        </w:rPr>
        <w:t>Growing evidence implicates that secondary, maladaptive changes following the primary genetic defect can significantly contribute to diseases progression</w:t>
      </w:r>
      <w:r w:rsidRPr="00DB1E67">
        <w:rPr>
          <w:lang w:val="en-US"/>
        </w:rPr>
        <w:t>.</w:t>
      </w:r>
    </w:p>
    <w:p w14:paraId="76962184" w14:textId="77777777" w:rsidR="00F1609F" w:rsidRPr="00F1609F" w:rsidRDefault="00F1609F" w:rsidP="00F1609F">
      <w:pPr>
        <w:spacing w:line="240" w:lineRule="auto"/>
        <w:jc w:val="both"/>
        <w:rPr>
          <w:b/>
          <w:bCs/>
          <w:u w:val="single"/>
          <w:lang w:val="en-US"/>
        </w:rPr>
      </w:pPr>
    </w:p>
    <w:p w14:paraId="29145C13" w14:textId="26EDD0E2" w:rsidR="00736922" w:rsidRDefault="00736922" w:rsidP="00F1609F">
      <w:pPr>
        <w:spacing w:line="240" w:lineRule="auto"/>
        <w:jc w:val="both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0C733A62" w14:textId="28F423EC" w:rsidR="00F1609F" w:rsidRPr="003D1FF6" w:rsidRDefault="00F1609F" w:rsidP="00F1609F">
      <w:pPr>
        <w:spacing w:line="240" w:lineRule="auto"/>
        <w:jc w:val="both"/>
        <w:rPr>
          <w:b/>
          <w:bCs/>
          <w:u w:val="single"/>
          <w:lang w:val="en-GB"/>
        </w:rPr>
      </w:pPr>
      <w:r w:rsidRPr="00DF2553">
        <w:rPr>
          <w:rFonts w:cs="Arial"/>
          <w:szCs w:val="16"/>
          <w:lang w:val="en-US"/>
        </w:rPr>
        <w:t xml:space="preserve">To explore these mechanisms, we examined a clinically relevant mouse model carrying the recurrent </w:t>
      </w:r>
      <w:r w:rsidRPr="00DF2553">
        <w:rPr>
          <w:rFonts w:cs="Arial"/>
          <w:i/>
          <w:szCs w:val="16"/>
          <w:lang w:val="en-US"/>
        </w:rPr>
        <w:t>Scn1a</w:t>
      </w:r>
      <w:r w:rsidRPr="00DF2553">
        <w:rPr>
          <w:rFonts w:cs="Arial"/>
          <w:szCs w:val="16"/>
          <w:lang w:val="en-US"/>
        </w:rPr>
        <w:t xml:space="preserve"> p.</w:t>
      </w:r>
      <w:r>
        <w:rPr>
          <w:rFonts w:cs="Arial"/>
          <w:szCs w:val="16"/>
          <w:lang w:val="en-US"/>
        </w:rPr>
        <w:t>(</w:t>
      </w:r>
      <w:r w:rsidRPr="00DF2553">
        <w:rPr>
          <w:rFonts w:cs="Arial"/>
          <w:szCs w:val="16"/>
          <w:lang w:val="en-US"/>
        </w:rPr>
        <w:t>A</w:t>
      </w:r>
      <w:r>
        <w:rPr>
          <w:rFonts w:cs="Arial"/>
          <w:szCs w:val="16"/>
          <w:lang w:val="en-US"/>
        </w:rPr>
        <w:t>la</w:t>
      </w:r>
      <w:r w:rsidRPr="00DF2553">
        <w:rPr>
          <w:rFonts w:cs="Arial"/>
          <w:szCs w:val="16"/>
          <w:lang w:val="en-US"/>
        </w:rPr>
        <w:t>1783V</w:t>
      </w:r>
      <w:r>
        <w:rPr>
          <w:rFonts w:cs="Arial"/>
          <w:szCs w:val="16"/>
          <w:lang w:val="en-US"/>
        </w:rPr>
        <w:t>al)</w:t>
      </w:r>
      <w:r w:rsidRPr="00DF2553">
        <w:rPr>
          <w:rFonts w:cs="Arial"/>
          <w:szCs w:val="16"/>
          <w:lang w:val="en-US"/>
        </w:rPr>
        <w:t xml:space="preserve"> variant, focusing on t</w:t>
      </w:r>
      <w:r>
        <w:rPr>
          <w:rFonts w:cs="Arial"/>
          <w:szCs w:val="16"/>
          <w:lang w:val="en-US"/>
        </w:rPr>
        <w:t xml:space="preserve">he somatosensory cortex (SSC) </w:t>
      </w:r>
      <w:r w:rsidR="00A94BE6">
        <w:rPr>
          <w:rFonts w:cs="Arial"/>
          <w:szCs w:val="16"/>
          <w:lang w:val="en-US"/>
        </w:rPr>
        <w:t>at</w:t>
      </w:r>
      <w:r>
        <w:rPr>
          <w:rFonts w:cs="Arial"/>
          <w:szCs w:val="16"/>
          <w:lang w:val="en-US"/>
        </w:rPr>
        <w:t xml:space="preserve"> the </w:t>
      </w:r>
      <w:r w:rsidR="00A94BE6">
        <w:rPr>
          <w:rFonts w:cs="Arial"/>
          <w:szCs w:val="16"/>
          <w:lang w:val="en-US"/>
        </w:rPr>
        <w:t>pre-</w:t>
      </w:r>
      <w:r>
        <w:rPr>
          <w:rFonts w:cs="Arial"/>
          <w:szCs w:val="16"/>
          <w:lang w:val="en-US"/>
        </w:rPr>
        <w:t>epileptic (P13-15) and epileptic (P20-23) stages</w:t>
      </w:r>
      <w:r w:rsidRPr="00DF2553">
        <w:rPr>
          <w:rFonts w:cs="Arial"/>
          <w:szCs w:val="16"/>
          <w:lang w:val="en-US"/>
        </w:rPr>
        <w:t>.</w:t>
      </w:r>
      <w:r>
        <w:rPr>
          <w:rFonts w:cs="Arial"/>
          <w:szCs w:val="16"/>
          <w:lang w:val="en-US"/>
        </w:rPr>
        <w:t xml:space="preserve"> We combined patch-clamp recordings from acute mouse brain slices,</w:t>
      </w:r>
      <w:r w:rsidR="00D04692">
        <w:rPr>
          <w:rFonts w:cs="Arial"/>
          <w:szCs w:val="16"/>
          <w:lang w:val="en-US"/>
        </w:rPr>
        <w:t xml:space="preserve"> with single-</w:t>
      </w:r>
      <w:r>
        <w:rPr>
          <w:rFonts w:cs="Arial"/>
          <w:szCs w:val="16"/>
          <w:lang w:val="en-US"/>
        </w:rPr>
        <w:t>nuclei RNA-seq</w:t>
      </w:r>
      <w:r w:rsidR="00EA675B">
        <w:rPr>
          <w:rFonts w:cs="Arial"/>
          <w:szCs w:val="16"/>
          <w:lang w:val="en-US"/>
        </w:rPr>
        <w:t>uencing</w:t>
      </w:r>
      <w:r>
        <w:rPr>
          <w:rFonts w:cs="Arial"/>
          <w:szCs w:val="16"/>
          <w:lang w:val="en-US"/>
        </w:rPr>
        <w:t xml:space="preserve">, and subsequently validated the transcriptomic findings with </w:t>
      </w:r>
      <w:r w:rsidRPr="00F1609F">
        <w:rPr>
          <w:rFonts w:cs="Arial"/>
          <w:i/>
          <w:szCs w:val="16"/>
          <w:lang w:val="en-US"/>
        </w:rPr>
        <w:t>in silico</w:t>
      </w:r>
      <w:r>
        <w:rPr>
          <w:rFonts w:cs="Arial"/>
          <w:szCs w:val="16"/>
          <w:lang w:val="en-US"/>
        </w:rPr>
        <w:t xml:space="preserve"> modeling, pharmacological assays</w:t>
      </w:r>
      <w:r w:rsidR="00A94BE6">
        <w:rPr>
          <w:rFonts w:cs="Arial"/>
          <w:szCs w:val="16"/>
          <w:lang w:val="en-US"/>
        </w:rPr>
        <w:t>,</w:t>
      </w:r>
      <w:r>
        <w:rPr>
          <w:rFonts w:cs="Arial"/>
          <w:szCs w:val="16"/>
          <w:lang w:val="en-US"/>
        </w:rPr>
        <w:t xml:space="preserve"> and direct M-current </w:t>
      </w:r>
      <w:r w:rsidR="00BF25AF">
        <w:rPr>
          <w:rFonts w:cs="Arial"/>
          <w:szCs w:val="16"/>
          <w:lang w:val="en-US"/>
        </w:rPr>
        <w:t>recordings</w:t>
      </w:r>
      <w:r>
        <w:rPr>
          <w:rFonts w:cs="Arial"/>
          <w:szCs w:val="16"/>
          <w:lang w:val="en-US"/>
        </w:rPr>
        <w:t>.</w:t>
      </w:r>
    </w:p>
    <w:p w14:paraId="72B508C1" w14:textId="5EC695A6" w:rsidR="00736922" w:rsidRDefault="00736922" w:rsidP="00F1609F">
      <w:pPr>
        <w:spacing w:line="240" w:lineRule="auto"/>
        <w:jc w:val="both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456B284A" w14:textId="3912D9AB" w:rsidR="00F1609F" w:rsidRPr="0020775F" w:rsidRDefault="00F1609F" w:rsidP="00F1609F">
      <w:pPr>
        <w:spacing w:after="0" w:line="240" w:lineRule="auto"/>
        <w:contextualSpacing/>
        <w:jc w:val="both"/>
        <w:rPr>
          <w:rFonts w:cs="Arial"/>
          <w:szCs w:val="16"/>
          <w:lang w:val="en-US"/>
        </w:rPr>
      </w:pPr>
      <w:r w:rsidRPr="00DB1E67">
        <w:rPr>
          <w:lang w:val="en-US"/>
        </w:rPr>
        <w:t>We analyzed inhibitory function in the SSC and the properties of layer 5 pyramidal neurons (L5PN).</w:t>
      </w:r>
      <w:r>
        <w:rPr>
          <w:lang w:val="en-US"/>
        </w:rPr>
        <w:t xml:space="preserve"> </w:t>
      </w:r>
      <w:r>
        <w:rPr>
          <w:rFonts w:cs="Arial"/>
          <w:szCs w:val="16"/>
          <w:lang w:val="en-US"/>
        </w:rPr>
        <w:t>W</w:t>
      </w:r>
      <w:r w:rsidRPr="00DF2553">
        <w:rPr>
          <w:rFonts w:cs="Arial"/>
          <w:szCs w:val="16"/>
          <w:lang w:val="en-US"/>
        </w:rPr>
        <w:t xml:space="preserve">hile inhibitory function </w:t>
      </w:r>
      <w:r>
        <w:rPr>
          <w:rFonts w:cs="Arial"/>
          <w:szCs w:val="16"/>
          <w:lang w:val="en-US"/>
        </w:rPr>
        <w:t>showed</w:t>
      </w:r>
      <w:r w:rsidRPr="00DF2553">
        <w:rPr>
          <w:rFonts w:cs="Arial"/>
          <w:szCs w:val="16"/>
          <w:lang w:val="en-US"/>
        </w:rPr>
        <w:t xml:space="preserve"> only </w:t>
      </w:r>
      <w:r>
        <w:rPr>
          <w:rFonts w:cs="Arial"/>
          <w:szCs w:val="16"/>
          <w:lang w:val="en-US"/>
        </w:rPr>
        <w:t xml:space="preserve">very </w:t>
      </w:r>
      <w:r w:rsidRPr="00DF2553">
        <w:rPr>
          <w:rFonts w:cs="Arial"/>
          <w:szCs w:val="16"/>
          <w:lang w:val="en-US"/>
        </w:rPr>
        <w:t>subtl</w:t>
      </w:r>
      <w:r>
        <w:rPr>
          <w:rFonts w:cs="Arial"/>
          <w:szCs w:val="16"/>
          <w:lang w:val="en-US"/>
        </w:rPr>
        <w:t>e</w:t>
      </w:r>
      <w:r w:rsidRPr="00DF2553">
        <w:rPr>
          <w:rFonts w:cs="Arial"/>
          <w:szCs w:val="16"/>
          <w:lang w:val="en-US"/>
        </w:rPr>
        <w:t xml:space="preserve"> alter</w:t>
      </w:r>
      <w:r>
        <w:rPr>
          <w:rFonts w:cs="Arial"/>
          <w:szCs w:val="16"/>
          <w:lang w:val="en-US"/>
        </w:rPr>
        <w:t>ations</w:t>
      </w:r>
      <w:r w:rsidRPr="00DF2553">
        <w:rPr>
          <w:rFonts w:cs="Arial"/>
          <w:szCs w:val="16"/>
          <w:lang w:val="en-US"/>
        </w:rPr>
        <w:t xml:space="preserve">, </w:t>
      </w:r>
      <w:r>
        <w:rPr>
          <w:rFonts w:cs="Arial"/>
          <w:szCs w:val="16"/>
          <w:lang w:val="en-US"/>
        </w:rPr>
        <w:t xml:space="preserve">we observed </w:t>
      </w:r>
      <w:r w:rsidRPr="00DF2553">
        <w:rPr>
          <w:rFonts w:cs="Arial"/>
          <w:szCs w:val="16"/>
          <w:lang w:val="en-US"/>
        </w:rPr>
        <w:t xml:space="preserve">pronounced hyperexcitability </w:t>
      </w:r>
      <w:r>
        <w:rPr>
          <w:rFonts w:cs="Arial"/>
          <w:szCs w:val="16"/>
          <w:lang w:val="en-US"/>
        </w:rPr>
        <w:t xml:space="preserve">in </w:t>
      </w:r>
      <w:r w:rsidRPr="00DF2553">
        <w:rPr>
          <w:rFonts w:cs="Arial"/>
          <w:szCs w:val="16"/>
          <w:lang w:val="en-US"/>
        </w:rPr>
        <w:t>L5PN</w:t>
      </w:r>
      <w:r>
        <w:rPr>
          <w:rFonts w:cs="Arial"/>
          <w:szCs w:val="16"/>
          <w:lang w:val="en-US"/>
        </w:rPr>
        <w:t xml:space="preserve"> </w:t>
      </w:r>
      <w:r w:rsidR="00B34850">
        <w:rPr>
          <w:rFonts w:cs="Arial"/>
          <w:szCs w:val="16"/>
          <w:lang w:val="en-US"/>
        </w:rPr>
        <w:t xml:space="preserve">during </w:t>
      </w:r>
      <w:r>
        <w:rPr>
          <w:rFonts w:cs="Arial"/>
          <w:szCs w:val="16"/>
          <w:lang w:val="en-US"/>
        </w:rPr>
        <w:t>the epileptic stage</w:t>
      </w:r>
      <w:r w:rsidRPr="00DF2553">
        <w:rPr>
          <w:rFonts w:cs="Arial"/>
          <w:szCs w:val="16"/>
          <w:lang w:val="en-US"/>
        </w:rPr>
        <w:t xml:space="preserve"> </w:t>
      </w:r>
      <w:r w:rsidRPr="0020775F">
        <w:rPr>
          <w:rFonts w:cs="Arial"/>
          <w:szCs w:val="16"/>
          <w:lang w:val="en-US"/>
        </w:rPr>
        <w:t>— a newly identified hallmark of pathological remodeling in DS.</w:t>
      </w:r>
    </w:p>
    <w:p w14:paraId="6818E44D" w14:textId="6E0B40FB" w:rsidR="00B34850" w:rsidRPr="003D1FF6" w:rsidRDefault="00F1609F" w:rsidP="00F1609F">
      <w:pPr>
        <w:spacing w:line="240" w:lineRule="auto"/>
        <w:jc w:val="both"/>
        <w:rPr>
          <w:b/>
          <w:bCs/>
          <w:u w:val="single"/>
          <w:lang w:val="en-GB"/>
        </w:rPr>
      </w:pPr>
      <w:r w:rsidRPr="0020775F">
        <w:rPr>
          <w:rFonts w:cs="Arial"/>
          <w:szCs w:val="16"/>
          <w:lang w:val="en-US"/>
        </w:rPr>
        <w:t>To uncover the molecular drivers of this phenotype, we performed</w:t>
      </w:r>
      <w:r w:rsidRPr="00DF2553">
        <w:rPr>
          <w:rFonts w:cs="Arial"/>
          <w:szCs w:val="16"/>
          <w:lang w:val="en-US"/>
        </w:rPr>
        <w:t xml:space="preserve"> single-nuclei RNA</w:t>
      </w:r>
      <w:r>
        <w:rPr>
          <w:rFonts w:cs="Arial"/>
          <w:szCs w:val="16"/>
          <w:lang w:val="en-US"/>
        </w:rPr>
        <w:t>-</w:t>
      </w:r>
      <w:r w:rsidRPr="00DF2553">
        <w:rPr>
          <w:rFonts w:cs="Arial"/>
          <w:szCs w:val="16"/>
          <w:lang w:val="en-US"/>
        </w:rPr>
        <w:t>sequencing of SSC t</w:t>
      </w:r>
      <w:r>
        <w:rPr>
          <w:rFonts w:cs="Arial"/>
          <w:szCs w:val="16"/>
          <w:lang w:val="en-US"/>
        </w:rPr>
        <w:t>issue and identified widespread</w:t>
      </w:r>
      <w:r w:rsidRPr="00DF2553">
        <w:rPr>
          <w:rFonts w:cs="Arial"/>
          <w:szCs w:val="16"/>
          <w:lang w:val="en-US"/>
        </w:rPr>
        <w:t xml:space="preserve"> transcriptional </w:t>
      </w:r>
      <w:r>
        <w:rPr>
          <w:rFonts w:cs="Arial"/>
          <w:szCs w:val="16"/>
          <w:lang w:val="en-US"/>
        </w:rPr>
        <w:t>dysregulation</w:t>
      </w:r>
      <w:r w:rsidRPr="00DF2553">
        <w:rPr>
          <w:rFonts w:cs="Arial"/>
          <w:szCs w:val="16"/>
          <w:lang w:val="en-US"/>
        </w:rPr>
        <w:t xml:space="preserve">, </w:t>
      </w:r>
      <w:r>
        <w:rPr>
          <w:rFonts w:cs="Arial"/>
          <w:szCs w:val="16"/>
          <w:lang w:val="en-US"/>
        </w:rPr>
        <w:t>much</w:t>
      </w:r>
      <w:r w:rsidRPr="00DF2553">
        <w:rPr>
          <w:rFonts w:cs="Arial"/>
          <w:szCs w:val="16"/>
          <w:lang w:val="en-US"/>
        </w:rPr>
        <w:t xml:space="preserve"> of which preceded seizure onset. Integrated analyses—including differential </w:t>
      </w:r>
      <w:r>
        <w:rPr>
          <w:rFonts w:cs="Arial"/>
          <w:szCs w:val="16"/>
          <w:lang w:val="en-US"/>
        </w:rPr>
        <w:t xml:space="preserve">gene </w:t>
      </w:r>
      <w:r w:rsidRPr="00DF2553">
        <w:rPr>
          <w:rFonts w:cs="Arial"/>
          <w:szCs w:val="16"/>
          <w:lang w:val="en-US"/>
        </w:rPr>
        <w:t>expression, and pseudo</w:t>
      </w:r>
      <w:r>
        <w:rPr>
          <w:rFonts w:cs="Arial"/>
          <w:szCs w:val="16"/>
          <w:lang w:val="en-US"/>
        </w:rPr>
        <w:t>disease</w:t>
      </w:r>
      <w:r w:rsidRPr="00DF2553">
        <w:rPr>
          <w:rFonts w:cs="Arial"/>
          <w:szCs w:val="16"/>
          <w:lang w:val="en-US"/>
        </w:rPr>
        <w:t xml:space="preserve"> trajectory analysis—highlighted </w:t>
      </w:r>
      <w:r>
        <w:rPr>
          <w:rFonts w:cs="Arial"/>
          <w:szCs w:val="16"/>
          <w:lang w:val="en-US"/>
        </w:rPr>
        <w:t>aberrant</w:t>
      </w:r>
      <w:r w:rsidRPr="00DF2553">
        <w:rPr>
          <w:rFonts w:cs="Arial"/>
          <w:szCs w:val="16"/>
          <w:lang w:val="en-US"/>
        </w:rPr>
        <w:t xml:space="preserve"> developmental expression of </w:t>
      </w:r>
      <w:r w:rsidRPr="00DF2553">
        <w:rPr>
          <w:rFonts w:cs="Arial"/>
          <w:i/>
          <w:szCs w:val="16"/>
          <w:lang w:val="en-US"/>
        </w:rPr>
        <w:t>Kcnq3</w:t>
      </w:r>
      <w:r w:rsidRPr="00DF2553">
        <w:rPr>
          <w:rFonts w:cs="Arial"/>
          <w:szCs w:val="16"/>
          <w:lang w:val="en-US"/>
        </w:rPr>
        <w:t xml:space="preserve"> and </w:t>
      </w:r>
      <w:r w:rsidRPr="00DF2553">
        <w:rPr>
          <w:rFonts w:cs="Arial"/>
          <w:i/>
          <w:szCs w:val="16"/>
          <w:lang w:val="en-US"/>
        </w:rPr>
        <w:t>Kcnq5</w:t>
      </w:r>
      <w:r w:rsidRPr="00DF2553">
        <w:rPr>
          <w:rFonts w:cs="Arial"/>
          <w:szCs w:val="16"/>
          <w:lang w:val="en-US"/>
        </w:rPr>
        <w:t xml:space="preserve"> as key contributors. </w:t>
      </w:r>
      <w:r w:rsidR="00CB432F">
        <w:rPr>
          <w:rFonts w:cs="Arial"/>
          <w:szCs w:val="16"/>
          <w:lang w:val="en-US"/>
        </w:rPr>
        <w:t>Replicating</w:t>
      </w:r>
      <w:r w:rsidR="0020775F">
        <w:rPr>
          <w:rFonts w:cs="Arial"/>
          <w:szCs w:val="16"/>
          <w:lang w:val="en-US"/>
        </w:rPr>
        <w:t xml:space="preserve"> the </w:t>
      </w:r>
      <w:r w:rsidR="0020775F">
        <w:rPr>
          <w:rFonts w:cs="Arial"/>
          <w:szCs w:val="16"/>
          <w:lang w:val="en-US"/>
        </w:rPr>
        <w:lastRenderedPageBreak/>
        <w:t xml:space="preserve">transcriptomic alterations in an </w:t>
      </w:r>
      <w:r w:rsidR="0020775F" w:rsidRPr="00CC6EB0">
        <w:rPr>
          <w:rFonts w:cs="Arial"/>
          <w:i/>
          <w:szCs w:val="16"/>
          <w:lang w:val="en-US"/>
        </w:rPr>
        <w:t>in silico</w:t>
      </w:r>
      <w:r w:rsidR="0020775F">
        <w:rPr>
          <w:rFonts w:cs="Arial"/>
          <w:szCs w:val="16"/>
          <w:lang w:val="en-US"/>
        </w:rPr>
        <w:t xml:space="preserve"> model, sustained that</w:t>
      </w:r>
      <w:r w:rsidR="00CB432F">
        <w:rPr>
          <w:rFonts w:cs="Arial"/>
          <w:szCs w:val="16"/>
          <w:lang w:val="en-US"/>
        </w:rPr>
        <w:t xml:space="preserve"> reduction of M-current</w:t>
      </w:r>
      <w:r w:rsidR="00CB432F">
        <w:rPr>
          <w:rFonts w:cs="Arial"/>
          <w:i/>
          <w:szCs w:val="16"/>
          <w:lang w:val="en-US"/>
        </w:rPr>
        <w:t xml:space="preserve"> </w:t>
      </w:r>
      <w:r w:rsidR="00CB432F">
        <w:rPr>
          <w:rFonts w:cs="Arial"/>
          <w:szCs w:val="16"/>
          <w:lang w:val="en-US"/>
        </w:rPr>
        <w:t>is one of the most likely culprit</w:t>
      </w:r>
      <w:r w:rsidR="0020775F">
        <w:rPr>
          <w:rFonts w:cs="Arial"/>
          <w:szCs w:val="16"/>
          <w:lang w:val="en-US"/>
        </w:rPr>
        <w:t xml:space="preserve"> explaining the newly observed electrophysiological phenotype. </w:t>
      </w:r>
      <w:r>
        <w:rPr>
          <w:rFonts w:cs="Arial"/>
          <w:szCs w:val="16"/>
          <w:lang w:val="en-US"/>
        </w:rPr>
        <w:t xml:space="preserve">Performing direct measurements of the M-current </w:t>
      </w:r>
      <w:r w:rsidR="00B34850">
        <w:rPr>
          <w:rFonts w:cs="Arial"/>
          <w:szCs w:val="16"/>
          <w:lang w:val="en-US"/>
        </w:rPr>
        <w:t xml:space="preserve">using the </w:t>
      </w:r>
      <w:r>
        <w:rPr>
          <w:rFonts w:cs="Arial"/>
          <w:szCs w:val="16"/>
          <w:lang w:val="en-US"/>
        </w:rPr>
        <w:t>p</w:t>
      </w:r>
      <w:r w:rsidRPr="00DF2553">
        <w:rPr>
          <w:rFonts w:cs="Arial"/>
          <w:szCs w:val="16"/>
          <w:lang w:val="en-US"/>
        </w:rPr>
        <w:t>atch-clamp</w:t>
      </w:r>
      <w:r w:rsidR="00B34850">
        <w:rPr>
          <w:rFonts w:cs="Arial"/>
          <w:szCs w:val="16"/>
          <w:lang w:val="en-US"/>
        </w:rPr>
        <w:t xml:space="preserve"> technique</w:t>
      </w:r>
      <w:r>
        <w:rPr>
          <w:rFonts w:cs="Arial"/>
          <w:szCs w:val="16"/>
          <w:lang w:val="en-US"/>
        </w:rPr>
        <w:t>,</w:t>
      </w:r>
      <w:r w:rsidRPr="00DF2553">
        <w:rPr>
          <w:rFonts w:cs="Arial"/>
          <w:szCs w:val="16"/>
          <w:lang w:val="en-US"/>
        </w:rPr>
        <w:t xml:space="preserve"> </w:t>
      </w:r>
      <w:r w:rsidRPr="00DF2553">
        <w:rPr>
          <w:lang w:val="en-US"/>
        </w:rPr>
        <w:t>we</w:t>
      </w:r>
      <w:r w:rsidRPr="00DF2553">
        <w:rPr>
          <w:rFonts w:cs="Arial"/>
          <w:szCs w:val="16"/>
          <w:lang w:val="en-US"/>
        </w:rPr>
        <w:t xml:space="preserve"> </w:t>
      </w:r>
      <w:r>
        <w:rPr>
          <w:rFonts w:cs="Arial"/>
          <w:szCs w:val="16"/>
          <w:lang w:val="en-US"/>
        </w:rPr>
        <w:t xml:space="preserve">demonstrated that </w:t>
      </w:r>
      <w:r w:rsidR="00A94BE6">
        <w:rPr>
          <w:rFonts w:cs="Arial"/>
          <w:szCs w:val="16"/>
          <w:lang w:val="en-US"/>
        </w:rPr>
        <w:t>i</w:t>
      </w:r>
      <w:r>
        <w:rPr>
          <w:rFonts w:cs="Arial"/>
          <w:szCs w:val="16"/>
          <w:lang w:val="en-US"/>
        </w:rPr>
        <w:t xml:space="preserve">t </w:t>
      </w:r>
      <w:r w:rsidR="00B34850">
        <w:rPr>
          <w:rFonts w:cs="Arial"/>
          <w:szCs w:val="16"/>
          <w:lang w:val="en-US"/>
        </w:rPr>
        <w:t xml:space="preserve">was </w:t>
      </w:r>
      <w:r>
        <w:rPr>
          <w:rFonts w:cs="Arial"/>
          <w:szCs w:val="16"/>
          <w:lang w:val="en-US"/>
        </w:rPr>
        <w:t xml:space="preserve">significantly reduced </w:t>
      </w:r>
      <w:r w:rsidR="00B34850">
        <w:rPr>
          <w:rFonts w:cs="Arial"/>
          <w:szCs w:val="16"/>
          <w:lang w:val="en-US"/>
        </w:rPr>
        <w:t xml:space="preserve">during </w:t>
      </w:r>
      <w:r>
        <w:rPr>
          <w:rFonts w:cs="Arial"/>
          <w:szCs w:val="16"/>
          <w:lang w:val="en-US"/>
        </w:rPr>
        <w:t xml:space="preserve">the epileptic stage. We </w:t>
      </w:r>
      <w:r w:rsidR="00B34850">
        <w:rPr>
          <w:rFonts w:cs="Arial"/>
          <w:szCs w:val="16"/>
          <w:lang w:val="en-US"/>
        </w:rPr>
        <w:t xml:space="preserve">therefore </w:t>
      </w:r>
      <w:r>
        <w:rPr>
          <w:rFonts w:cs="Arial"/>
          <w:szCs w:val="16"/>
          <w:lang w:val="en-US"/>
        </w:rPr>
        <w:t xml:space="preserve">performed pharmacological experiments and observed that (i) </w:t>
      </w:r>
      <w:r w:rsidR="00B34850">
        <w:rPr>
          <w:rFonts w:cs="Arial"/>
          <w:szCs w:val="16"/>
          <w:lang w:val="en-US"/>
        </w:rPr>
        <w:t xml:space="preserve">reducing the </w:t>
      </w:r>
      <w:r>
        <w:rPr>
          <w:rFonts w:cs="Arial"/>
          <w:szCs w:val="16"/>
          <w:lang w:val="en-US"/>
        </w:rPr>
        <w:t xml:space="preserve">M-current in wild-type mice </w:t>
      </w:r>
      <w:r w:rsidR="00B34850">
        <w:rPr>
          <w:rFonts w:cs="Arial"/>
          <w:szCs w:val="16"/>
          <w:lang w:val="en-US"/>
        </w:rPr>
        <w:t xml:space="preserve">was </w:t>
      </w:r>
      <w:r>
        <w:rPr>
          <w:rFonts w:cs="Arial"/>
          <w:szCs w:val="16"/>
          <w:lang w:val="en-US"/>
        </w:rPr>
        <w:t xml:space="preserve">sufficient to elicit the L5PN hyperexcitability phenotype, and (ii) </w:t>
      </w:r>
      <w:r w:rsidR="00B34850">
        <w:rPr>
          <w:rFonts w:cs="Arial"/>
          <w:szCs w:val="16"/>
          <w:lang w:val="en-US"/>
        </w:rPr>
        <w:t xml:space="preserve">restoring the </w:t>
      </w:r>
      <w:r>
        <w:rPr>
          <w:rFonts w:cs="Arial"/>
          <w:szCs w:val="16"/>
          <w:lang w:val="en-US"/>
        </w:rPr>
        <w:t xml:space="preserve">M-current with the retigabine derivative c60 was sufficient to </w:t>
      </w:r>
      <w:r w:rsidR="00B34850">
        <w:rPr>
          <w:rFonts w:cs="Arial"/>
          <w:szCs w:val="16"/>
          <w:lang w:val="en-US"/>
        </w:rPr>
        <w:t xml:space="preserve">normalize </w:t>
      </w:r>
      <w:r>
        <w:rPr>
          <w:rFonts w:cs="Arial"/>
          <w:szCs w:val="16"/>
          <w:lang w:val="en-US"/>
        </w:rPr>
        <w:t>excitability in DS mice.</w:t>
      </w:r>
    </w:p>
    <w:p w14:paraId="2725ED62" w14:textId="55D3F9DD" w:rsidR="00736922" w:rsidRPr="003D1FF6" w:rsidRDefault="00736922" w:rsidP="00F1609F">
      <w:pPr>
        <w:spacing w:line="240" w:lineRule="auto"/>
        <w:jc w:val="both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658BAE4A" w14:textId="32BCB7EE" w:rsidR="00F1609F" w:rsidRPr="00DF2553" w:rsidRDefault="0020775F" w:rsidP="00F1609F">
      <w:pPr>
        <w:spacing w:after="0" w:line="240" w:lineRule="auto"/>
        <w:contextualSpacing/>
        <w:jc w:val="both"/>
        <w:rPr>
          <w:rFonts w:cs="Arial"/>
          <w:szCs w:val="16"/>
          <w:lang w:val="en-US"/>
        </w:rPr>
      </w:pPr>
      <w:r>
        <w:rPr>
          <w:rFonts w:cs="Arial"/>
          <w:szCs w:val="16"/>
          <w:lang w:val="en-US"/>
        </w:rPr>
        <w:t>We demonstrate that the M-current reduction is necessary and sufficient to the newly observed L5PN hyperexcitability in DS.</w:t>
      </w:r>
    </w:p>
    <w:p w14:paraId="3AAA346F" w14:textId="77777777" w:rsidR="00F1609F" w:rsidRPr="00DB1E67" w:rsidRDefault="00F1609F" w:rsidP="00F1609F">
      <w:pPr>
        <w:spacing w:after="0" w:line="240" w:lineRule="auto"/>
        <w:contextualSpacing/>
        <w:jc w:val="both"/>
        <w:rPr>
          <w:rFonts w:cs="Arial"/>
          <w:szCs w:val="16"/>
          <w:lang w:val="en-US"/>
        </w:rPr>
      </w:pPr>
      <w:r w:rsidRPr="00DF2553">
        <w:rPr>
          <w:rFonts w:cs="Arial"/>
          <w:szCs w:val="16"/>
          <w:lang w:val="en-US"/>
        </w:rPr>
        <w:t>T</w:t>
      </w:r>
      <w:r>
        <w:rPr>
          <w:rFonts w:cs="Arial"/>
          <w:szCs w:val="16"/>
          <w:lang w:val="en-US"/>
        </w:rPr>
        <w:t>aken together, t</w:t>
      </w:r>
      <w:r w:rsidRPr="00DF2553">
        <w:rPr>
          <w:rFonts w:cs="Arial"/>
          <w:szCs w:val="16"/>
          <w:lang w:val="en-US"/>
        </w:rPr>
        <w:t xml:space="preserve">hese </w:t>
      </w:r>
      <w:r>
        <w:rPr>
          <w:rFonts w:cs="Arial"/>
          <w:szCs w:val="16"/>
          <w:lang w:val="en-US"/>
        </w:rPr>
        <w:t>findings</w:t>
      </w:r>
      <w:r w:rsidRPr="00DF2553">
        <w:rPr>
          <w:rFonts w:cs="Arial"/>
          <w:szCs w:val="16"/>
          <w:lang w:val="en-US"/>
        </w:rPr>
        <w:t xml:space="preserve"> identify a novel, expe</w:t>
      </w:r>
      <w:r>
        <w:rPr>
          <w:rFonts w:cs="Arial"/>
          <w:szCs w:val="16"/>
          <w:lang w:val="en-US"/>
        </w:rPr>
        <w:t>rimentally validated disease mechanism</w:t>
      </w:r>
      <w:r w:rsidRPr="00DF2553">
        <w:rPr>
          <w:rFonts w:cs="Arial"/>
          <w:szCs w:val="16"/>
          <w:lang w:val="en-US"/>
        </w:rPr>
        <w:t xml:space="preserve"> in DS and </w:t>
      </w:r>
      <w:r>
        <w:rPr>
          <w:rFonts w:cs="Arial"/>
          <w:szCs w:val="16"/>
          <w:lang w:val="en-US"/>
        </w:rPr>
        <w:t>highlight</w:t>
      </w:r>
      <w:r w:rsidRPr="00DF2553">
        <w:rPr>
          <w:rFonts w:cs="Arial"/>
          <w:szCs w:val="16"/>
          <w:lang w:val="en-US"/>
        </w:rPr>
        <w:t xml:space="preserve"> a promising, druggable target for </w:t>
      </w:r>
      <w:r>
        <w:rPr>
          <w:rFonts w:cs="Arial"/>
          <w:szCs w:val="16"/>
          <w:lang w:val="en-US"/>
        </w:rPr>
        <w:t>therapeutic intervention</w:t>
      </w:r>
      <w:r w:rsidRPr="00DF2553">
        <w:rPr>
          <w:rFonts w:cs="Arial"/>
          <w:szCs w:val="16"/>
          <w:lang w:val="en-US"/>
        </w:rPr>
        <w:t>.</w:t>
      </w:r>
    </w:p>
    <w:p w14:paraId="77BE2BF3" w14:textId="77777777" w:rsidR="00736922" w:rsidRPr="00F1609F" w:rsidRDefault="00736922" w:rsidP="00823644">
      <w:pPr>
        <w:rPr>
          <w:u w:val="single"/>
          <w:lang w:val="en-US"/>
        </w:rPr>
      </w:pPr>
    </w:p>
    <w:sectPr w:rsidR="00736922" w:rsidRPr="00F160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E884FBD" w16cex:dateUtc="2026-04-12T15:30:00Z"/>
  <w16cex:commentExtensible w16cex:durableId="5B58D791" w16cex:dateUtc="2026-04-12T15:31:00Z"/>
  <w16cex:commentExtensible w16cex:durableId="64E1A30B" w16cex:dateUtc="2026-04-12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0B4C995" w16cid:durableId="5E884FBD"/>
  <w16cid:commentId w16cid:paraId="0221BFD4" w16cid:durableId="5B58D791"/>
  <w16cid:commentId w16cid:paraId="47A0A2AF" w16cid:durableId="64E1A30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B1EE8" w14:textId="77777777" w:rsidR="0026017F" w:rsidRDefault="0026017F" w:rsidP="003D1FF6">
      <w:pPr>
        <w:spacing w:after="0" w:line="240" w:lineRule="auto"/>
      </w:pPr>
      <w:r>
        <w:separator/>
      </w:r>
    </w:p>
  </w:endnote>
  <w:endnote w:type="continuationSeparator" w:id="0">
    <w:p w14:paraId="1D3318FA" w14:textId="77777777" w:rsidR="0026017F" w:rsidRDefault="0026017F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7195D" w14:textId="77777777" w:rsidR="0026017F" w:rsidRDefault="0026017F" w:rsidP="003D1FF6">
      <w:pPr>
        <w:spacing w:after="0" w:line="240" w:lineRule="auto"/>
      </w:pPr>
      <w:r>
        <w:separator/>
      </w:r>
    </w:p>
  </w:footnote>
  <w:footnote w:type="continuationSeparator" w:id="0">
    <w:p w14:paraId="565E317D" w14:textId="77777777" w:rsidR="0026017F" w:rsidRDefault="0026017F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C12B" w14:textId="3C31B133" w:rsidR="003D1FF6" w:rsidRPr="003D1FF6" w:rsidRDefault="003D1FF6" w:rsidP="003D1FF6">
    <w:pPr>
      <w:pStyle w:val="Kopfzeile"/>
    </w:pPr>
    <w:r>
      <w:rPr>
        <w:noProof/>
        <w:lang w:val="de-DE" w:eastAsia="de-DE"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5707"/>
    <w:multiLevelType w:val="hybridMultilevel"/>
    <w:tmpl w:val="40BAA9E4"/>
    <w:lvl w:ilvl="0" w:tplc="9C363FBA">
      <w:start w:val="6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44"/>
    <w:rsid w:val="00117B18"/>
    <w:rsid w:val="0020775F"/>
    <w:rsid w:val="00241D7C"/>
    <w:rsid w:val="0026017F"/>
    <w:rsid w:val="00291AB8"/>
    <w:rsid w:val="003D1FF6"/>
    <w:rsid w:val="004910FF"/>
    <w:rsid w:val="004B58BA"/>
    <w:rsid w:val="005E6E54"/>
    <w:rsid w:val="006102BC"/>
    <w:rsid w:val="00696C68"/>
    <w:rsid w:val="00736922"/>
    <w:rsid w:val="00823644"/>
    <w:rsid w:val="008626A7"/>
    <w:rsid w:val="008729AE"/>
    <w:rsid w:val="008C3513"/>
    <w:rsid w:val="00A94BE6"/>
    <w:rsid w:val="00AA10F8"/>
    <w:rsid w:val="00B2781D"/>
    <w:rsid w:val="00B34850"/>
    <w:rsid w:val="00B87B61"/>
    <w:rsid w:val="00BA2AA1"/>
    <w:rsid w:val="00BF25AF"/>
    <w:rsid w:val="00CA63B4"/>
    <w:rsid w:val="00CB432F"/>
    <w:rsid w:val="00CC6EB0"/>
    <w:rsid w:val="00CF4A74"/>
    <w:rsid w:val="00D04692"/>
    <w:rsid w:val="00E5603A"/>
    <w:rsid w:val="00EA09C1"/>
    <w:rsid w:val="00EA675B"/>
    <w:rsid w:val="00F1609F"/>
    <w:rsid w:val="00F5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36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36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36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36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1FF6"/>
  </w:style>
  <w:style w:type="paragraph" w:styleId="Fuzeile">
    <w:name w:val="footer"/>
    <w:basedOn w:val="Standard"/>
    <w:link w:val="FuzeileZchn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1FF6"/>
  </w:style>
  <w:style w:type="paragraph" w:styleId="StandardWeb">
    <w:name w:val="Normal (Web)"/>
    <w:basedOn w:val="Standard"/>
    <w:uiPriority w:val="99"/>
    <w:semiHidden/>
    <w:unhideWhenUsed/>
    <w:rsid w:val="00696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60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60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60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60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60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0FC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B34850"/>
    <w:rPr>
      <w:b/>
      <w:bCs/>
    </w:rPr>
  </w:style>
  <w:style w:type="paragraph" w:styleId="berarbeitung">
    <w:name w:val="Revision"/>
    <w:hidden/>
    <w:uiPriority w:val="99"/>
    <w:semiHidden/>
    <w:rsid w:val="00A94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Stefano Iavarone</cp:lastModifiedBy>
  <cp:revision>2</cp:revision>
  <dcterms:created xsi:type="dcterms:W3CDTF">2026-04-15T12:58:00Z</dcterms:created>
  <dcterms:modified xsi:type="dcterms:W3CDTF">2026-04-15T12:58:00Z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