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Pr="00144C2D" w:rsidRDefault="00736922" w:rsidP="00823644">
      <w:pPr>
        <w:rPr>
          <w:b/>
          <w:bCs/>
        </w:rPr>
      </w:pPr>
    </w:p>
    <w:p w14:paraId="2E095653" w14:textId="77777777" w:rsidR="002A31A3" w:rsidRDefault="002A31A3" w:rsidP="00823644">
      <w:pPr>
        <w:rPr>
          <w:b/>
          <w:bCs/>
        </w:rPr>
      </w:pPr>
      <w:r w:rsidRPr="002A31A3">
        <w:rPr>
          <w:b/>
          <w:bCs/>
        </w:rPr>
        <w:t>Modeling KCNQ2 Encephalopathy Using iPSC-Derived Excitatory–Inhibitory Neuronal Networks</w:t>
      </w:r>
    </w:p>
    <w:p w14:paraId="50BF0D1B" w14:textId="665D2D3D" w:rsidR="00700082" w:rsidRPr="00144C2D" w:rsidRDefault="00DF0B61" w:rsidP="00823644">
      <w:pPr>
        <w:rPr>
          <w:vertAlign w:val="superscript"/>
        </w:rPr>
      </w:pPr>
      <w:r w:rsidRPr="00DF0B61">
        <w:rPr>
          <w:u w:val="single"/>
        </w:rPr>
        <w:t>Noor</w:t>
      </w:r>
      <w:r w:rsidR="00F3017E">
        <w:rPr>
          <w:u w:val="single"/>
        </w:rPr>
        <w:t xml:space="preserve">tje </w:t>
      </w:r>
      <w:r w:rsidRPr="00DF0B61">
        <w:rPr>
          <w:u w:val="single"/>
        </w:rPr>
        <w:t>Zonnekein</w:t>
      </w:r>
      <w:r w:rsidRPr="008859E6">
        <w:rPr>
          <w:vertAlign w:val="superscript"/>
        </w:rPr>
        <w:t>1,</w:t>
      </w:r>
      <w:r w:rsidR="003063E5" w:rsidRPr="008859E6">
        <w:rPr>
          <w:vertAlign w:val="superscript"/>
        </w:rPr>
        <w:t>2</w:t>
      </w:r>
      <w:r w:rsidR="006F4C21">
        <w:rPr>
          <w:vertAlign w:val="superscript"/>
        </w:rPr>
        <w:t>,3</w:t>
      </w:r>
      <w:r w:rsidR="001924EC" w:rsidRPr="008859E6">
        <w:t>, Lidia Carotenuto</w:t>
      </w:r>
      <w:r w:rsidR="001702CE" w:rsidRPr="008859E6">
        <w:rPr>
          <w:vertAlign w:val="superscript"/>
        </w:rPr>
        <w:t>1,3,4</w:t>
      </w:r>
      <w:r w:rsidR="00852EDF" w:rsidRPr="008859E6">
        <w:rPr>
          <w:vertAlign w:val="superscript"/>
        </w:rPr>
        <w:t>,5</w:t>
      </w:r>
      <w:r w:rsidR="001924EC" w:rsidRPr="008859E6">
        <w:t xml:space="preserve">, </w:t>
      </w:r>
      <w:r w:rsidR="00D60856" w:rsidRPr="005A419D">
        <w:t>Yara Meijs</w:t>
      </w:r>
      <w:r w:rsidR="00D60856" w:rsidRPr="008859E6">
        <w:rPr>
          <w:vertAlign w:val="superscript"/>
        </w:rPr>
        <w:t>1,2</w:t>
      </w:r>
      <w:r w:rsidR="00D60856">
        <w:t xml:space="preserve">, </w:t>
      </w:r>
      <w:r w:rsidRPr="008859E6">
        <w:t>Marcus Kaji</w:t>
      </w:r>
      <w:r w:rsidR="00852EDF" w:rsidRPr="008859E6">
        <w:rPr>
          <w:vertAlign w:val="superscript"/>
        </w:rPr>
        <w:t>1,3,4,5</w:t>
      </w:r>
      <w:r w:rsidRPr="008859E6">
        <w:t>,</w:t>
      </w:r>
      <w:r w:rsidR="00B238AF">
        <w:t xml:space="preserve"> </w:t>
      </w:r>
      <w:r w:rsidR="00700082" w:rsidRPr="008859E6">
        <w:t>Nina Dirkx</w:t>
      </w:r>
      <w:r w:rsidR="00BB1CAA" w:rsidRPr="008859E6">
        <w:rPr>
          <w:vertAlign w:val="superscript"/>
        </w:rPr>
        <w:t>1,</w:t>
      </w:r>
      <w:r w:rsidR="00AD3C30">
        <w:rPr>
          <w:vertAlign w:val="superscript"/>
        </w:rPr>
        <w:t>2</w:t>
      </w:r>
      <w:r w:rsidR="00700082" w:rsidRPr="008859E6">
        <w:t>,</w:t>
      </w:r>
      <w:r w:rsidR="00F64A98" w:rsidRPr="008859E6">
        <w:t xml:space="preserve"> </w:t>
      </w:r>
      <w:r w:rsidR="00700082" w:rsidRPr="008859E6">
        <w:t>Els De Vriendt</w:t>
      </w:r>
      <w:r w:rsidR="00700082" w:rsidRPr="008859E6">
        <w:rPr>
          <w:vertAlign w:val="superscript"/>
        </w:rPr>
        <w:t>1</w:t>
      </w:r>
      <w:r w:rsidR="00700082" w:rsidRPr="008859E6">
        <w:t xml:space="preserve">, </w:t>
      </w:r>
      <w:r w:rsidR="00B238AF" w:rsidRPr="008859E6">
        <w:t xml:space="preserve">Peter </w:t>
      </w:r>
      <w:r w:rsidR="00B238AF" w:rsidRPr="00B238AF">
        <w:t>Verstraelen</w:t>
      </w:r>
      <w:r w:rsidR="00B238AF" w:rsidRPr="00B238AF">
        <w:rPr>
          <w:vertAlign w:val="superscript"/>
        </w:rPr>
        <w:t>6</w:t>
      </w:r>
      <w:r w:rsidR="00B238AF">
        <w:t xml:space="preserve">, </w:t>
      </w:r>
      <w:r w:rsidR="007C3121" w:rsidRPr="00B238AF">
        <w:t>Simona</w:t>
      </w:r>
      <w:r w:rsidR="007C3121">
        <w:t xml:space="preserve"> Manzella</w:t>
      </w:r>
      <w:r w:rsidR="007C3121">
        <w:rPr>
          <w:vertAlign w:val="superscript"/>
        </w:rPr>
        <w:t>1,2</w:t>
      </w:r>
      <w:r w:rsidR="007C3121">
        <w:t xml:space="preserve">, </w:t>
      </w:r>
      <w:r w:rsidR="00F64A98" w:rsidRPr="008859E6">
        <w:t>Bob Asselbergh</w:t>
      </w:r>
      <w:r w:rsidR="00F64A98" w:rsidRPr="008859E6">
        <w:rPr>
          <w:vertAlign w:val="superscript"/>
        </w:rPr>
        <w:t>1,2</w:t>
      </w:r>
      <w:r w:rsidR="00F64A98" w:rsidRPr="008859E6">
        <w:t xml:space="preserve">, </w:t>
      </w:r>
      <w:r w:rsidR="00B238AF">
        <w:t>Geert Joris</w:t>
      </w:r>
      <w:r w:rsidR="00B238AF">
        <w:rPr>
          <w:vertAlign w:val="superscript"/>
        </w:rPr>
        <w:t>1</w:t>
      </w:r>
      <w:r w:rsidR="006F4C21">
        <w:rPr>
          <w:vertAlign w:val="superscript"/>
        </w:rPr>
        <w:t>,2</w:t>
      </w:r>
      <w:r w:rsidR="00B238AF">
        <w:t xml:space="preserve">, </w:t>
      </w:r>
      <w:r w:rsidR="008859E6" w:rsidRPr="008859E6">
        <w:t>Daphné Deben</w:t>
      </w:r>
      <w:r w:rsidR="00852EDF" w:rsidRPr="008859E6">
        <w:rPr>
          <w:vertAlign w:val="superscript"/>
        </w:rPr>
        <w:t>1,2</w:t>
      </w:r>
      <w:r w:rsidR="00BC0D68" w:rsidRPr="008859E6">
        <w:t xml:space="preserve">, </w:t>
      </w:r>
      <w:r w:rsidR="008859E6" w:rsidRPr="008859E6">
        <w:t>Lamyae</w:t>
      </w:r>
      <w:r w:rsidR="007949F8">
        <w:t xml:space="preserve"> </w:t>
      </w:r>
      <w:r w:rsidR="008859E6" w:rsidRPr="008859E6">
        <w:t>Elangouri</w:t>
      </w:r>
      <w:r w:rsidR="00852EDF" w:rsidRPr="008859E6">
        <w:rPr>
          <w:vertAlign w:val="superscript"/>
        </w:rPr>
        <w:t>1,2</w:t>
      </w:r>
      <w:r w:rsidR="00BC0D68" w:rsidRPr="008859E6">
        <w:t xml:space="preserve">, </w:t>
      </w:r>
      <w:r w:rsidR="000713CC" w:rsidRPr="000713CC">
        <w:t>Karlijn Cuypers</w:t>
      </w:r>
      <w:r w:rsidR="000713CC" w:rsidRPr="008859E6">
        <w:rPr>
          <w:vertAlign w:val="superscript"/>
        </w:rPr>
        <w:t>1,</w:t>
      </w:r>
      <w:r w:rsidR="000713CC">
        <w:rPr>
          <w:vertAlign w:val="superscript"/>
        </w:rPr>
        <w:t>2</w:t>
      </w:r>
      <w:r w:rsidR="000713CC">
        <w:t xml:space="preserve">, </w:t>
      </w:r>
      <w:r w:rsidR="001924EC" w:rsidRPr="008859E6">
        <w:t>Sarah Weckhuysen</w:t>
      </w:r>
      <w:r w:rsidR="00852EDF" w:rsidRPr="008859E6">
        <w:rPr>
          <w:vertAlign w:val="superscript"/>
        </w:rPr>
        <w:t>1,3,4,5</w:t>
      </w:r>
    </w:p>
    <w:p w14:paraId="50BE3490" w14:textId="04B6E623" w:rsidR="001702CE" w:rsidRDefault="001702CE" w:rsidP="00476224">
      <w:pPr>
        <w:spacing w:after="0" w:line="240" w:lineRule="auto"/>
        <w:jc w:val="both"/>
        <w:rPr>
          <w:i/>
          <w:iCs/>
        </w:rPr>
      </w:pPr>
      <w:r w:rsidRPr="00144C2D">
        <w:rPr>
          <w:i/>
          <w:iCs/>
          <w:vertAlign w:val="superscript"/>
        </w:rPr>
        <w:t>1</w:t>
      </w:r>
      <w:r w:rsidRPr="00144C2D">
        <w:rPr>
          <w:i/>
          <w:iCs/>
        </w:rPr>
        <w:t>VIB Center for Molecular Neurology, VIB, Antwerp, Belgium.</w:t>
      </w:r>
    </w:p>
    <w:p w14:paraId="673FC06E" w14:textId="05D90703" w:rsidR="00167606" w:rsidRPr="00167606" w:rsidRDefault="00861EB7" w:rsidP="00476224">
      <w:pPr>
        <w:spacing w:after="0" w:line="240" w:lineRule="auto"/>
        <w:jc w:val="both"/>
      </w:pPr>
      <w:r>
        <w:rPr>
          <w:i/>
          <w:iCs/>
          <w:vertAlign w:val="superscript"/>
        </w:rPr>
        <w:t>2</w:t>
      </w:r>
      <w:r w:rsidR="00167606" w:rsidRPr="00144C2D">
        <w:rPr>
          <w:i/>
          <w:iCs/>
        </w:rPr>
        <w:t>Department of Biomedical Sciences, University of Antwerp, Antwerp, Belgium.</w:t>
      </w:r>
      <w:r w:rsidR="00167606" w:rsidRPr="00144C2D">
        <w:t xml:space="preserve"> </w:t>
      </w:r>
    </w:p>
    <w:p w14:paraId="2BF3627D" w14:textId="6DE2508D" w:rsidR="001702CE" w:rsidRPr="00144C2D" w:rsidRDefault="00861EB7" w:rsidP="00476224">
      <w:pPr>
        <w:spacing w:after="0" w:line="240" w:lineRule="auto"/>
        <w:jc w:val="both"/>
        <w:rPr>
          <w:i/>
          <w:iCs/>
        </w:rPr>
      </w:pPr>
      <w:r>
        <w:rPr>
          <w:i/>
          <w:iCs/>
          <w:vertAlign w:val="superscript"/>
        </w:rPr>
        <w:t>3</w:t>
      </w:r>
      <w:r w:rsidR="001702CE" w:rsidRPr="00144C2D">
        <w:rPr>
          <w:i/>
          <w:iCs/>
        </w:rPr>
        <w:t>μNeuro Research Centre of Excellence, University of Antwerp, Antwerp, Belgium.</w:t>
      </w:r>
    </w:p>
    <w:p w14:paraId="331617A6" w14:textId="115E090A" w:rsidR="001702CE" w:rsidRPr="00144C2D" w:rsidRDefault="00861EB7" w:rsidP="00476224">
      <w:pPr>
        <w:spacing w:after="0" w:line="240" w:lineRule="auto"/>
        <w:jc w:val="both"/>
        <w:rPr>
          <w:i/>
          <w:iCs/>
        </w:rPr>
      </w:pPr>
      <w:r>
        <w:rPr>
          <w:i/>
          <w:iCs/>
          <w:vertAlign w:val="superscript"/>
        </w:rPr>
        <w:t>4</w:t>
      </w:r>
      <w:r w:rsidR="001702CE" w:rsidRPr="00144C2D">
        <w:rPr>
          <w:i/>
          <w:iCs/>
        </w:rPr>
        <w:t>Division of Neurology, University Hospital Antwerp, Antwerp, Belgium.</w:t>
      </w:r>
    </w:p>
    <w:p w14:paraId="1224AFE6" w14:textId="68182979" w:rsidR="001702CE" w:rsidRPr="00144C2D" w:rsidRDefault="00861EB7" w:rsidP="00476224">
      <w:pPr>
        <w:spacing w:after="0" w:line="240" w:lineRule="auto"/>
        <w:jc w:val="both"/>
        <w:rPr>
          <w:i/>
          <w:iCs/>
        </w:rPr>
      </w:pPr>
      <w:r>
        <w:rPr>
          <w:i/>
          <w:iCs/>
          <w:vertAlign w:val="superscript"/>
        </w:rPr>
        <w:t>5</w:t>
      </w:r>
      <w:r w:rsidR="001702CE" w:rsidRPr="00144C2D">
        <w:rPr>
          <w:i/>
          <w:iCs/>
        </w:rPr>
        <w:t>Translational Neurosciences, Faculty of Medicine and Health Science, University of Antwerp, Antwerp, Belgium.</w:t>
      </w:r>
    </w:p>
    <w:p w14:paraId="601D2FE1" w14:textId="44A209A3" w:rsidR="001702CE" w:rsidRDefault="00BB1CAA" w:rsidP="003063E5">
      <w:pPr>
        <w:spacing w:after="0" w:line="240" w:lineRule="auto"/>
        <w:jc w:val="both"/>
        <w:rPr>
          <w:i/>
          <w:iCs/>
        </w:rPr>
      </w:pPr>
      <w:r w:rsidRPr="00144C2D">
        <w:rPr>
          <w:i/>
          <w:iCs/>
          <w:vertAlign w:val="superscript"/>
        </w:rPr>
        <w:t>6</w:t>
      </w:r>
      <w:r w:rsidR="003063E5" w:rsidRPr="003063E5">
        <w:rPr>
          <w:i/>
          <w:iCs/>
        </w:rPr>
        <w:t>Laboratory of Cell Biology and Histology, University of Antwerp, Antwerp, Belgium.</w:t>
      </w:r>
    </w:p>
    <w:p w14:paraId="46095C26" w14:textId="77777777" w:rsidR="003063E5" w:rsidRPr="00144C2D" w:rsidRDefault="003063E5" w:rsidP="003063E5">
      <w:pPr>
        <w:spacing w:after="0" w:line="240" w:lineRule="auto"/>
        <w:jc w:val="both"/>
      </w:pPr>
    </w:p>
    <w:p w14:paraId="7E4F0E0B" w14:textId="39DAA8A5" w:rsidR="001924EC" w:rsidRPr="00144C2D" w:rsidRDefault="00736922" w:rsidP="001702CE">
      <w:pPr>
        <w:jc w:val="both"/>
        <w:rPr>
          <w:b/>
          <w:bCs/>
          <w:u w:val="single"/>
        </w:rPr>
      </w:pPr>
      <w:r w:rsidRPr="00144C2D">
        <w:rPr>
          <w:b/>
          <w:bCs/>
          <w:u w:val="single"/>
        </w:rPr>
        <w:t>Introduction</w:t>
      </w:r>
    </w:p>
    <w:p w14:paraId="21F25D76" w14:textId="77E567AB" w:rsidR="000A4E12" w:rsidRPr="000A4E12" w:rsidRDefault="000A4E12" w:rsidP="003F2014">
      <w:pPr>
        <w:jc w:val="both"/>
      </w:pPr>
      <w:r w:rsidRPr="000A4E12">
        <w:t xml:space="preserve">Pathogenic </w:t>
      </w:r>
      <w:r w:rsidR="00CB41B5">
        <w:t xml:space="preserve">KCNQ2 </w:t>
      </w:r>
      <w:r w:rsidRPr="000A4E12">
        <w:t xml:space="preserve">gain-of-function (GOF) variants </w:t>
      </w:r>
      <w:r w:rsidR="00606217" w:rsidRPr="003C0E44">
        <w:t xml:space="preserve">enhance </w:t>
      </w:r>
      <w:r w:rsidR="00606217">
        <w:t xml:space="preserve">neuronal </w:t>
      </w:r>
      <w:r w:rsidR="00606217" w:rsidRPr="003C0E44">
        <w:t>M-current</w:t>
      </w:r>
      <w:r w:rsidR="00606217">
        <w:t xml:space="preserve">, and </w:t>
      </w:r>
      <w:r w:rsidRPr="000A4E12">
        <w:t xml:space="preserve">cause severe developmental disorders characterized by cognitive, behavioral, language, and motor impairments, with </w:t>
      </w:r>
      <w:r w:rsidR="00E903F0">
        <w:t xml:space="preserve">potential </w:t>
      </w:r>
      <w:r w:rsidRPr="000A4E12">
        <w:t xml:space="preserve">seizures. </w:t>
      </w:r>
      <w:r w:rsidRPr="003C0E44">
        <w:t xml:space="preserve">These variants enhance </w:t>
      </w:r>
      <w:r>
        <w:t xml:space="preserve">neuronal </w:t>
      </w:r>
      <w:r w:rsidRPr="003C0E44">
        <w:t>M-current</w:t>
      </w:r>
      <w:r w:rsidR="00561711">
        <w:t>,</w:t>
      </w:r>
      <w:r w:rsidRPr="000A4E12">
        <w:t xml:space="preserve"> however, their downstream effects on neuronal function and network behavior remain poorly understood, limiting the development of effective treatments.</w:t>
      </w:r>
    </w:p>
    <w:p w14:paraId="42A1C18C" w14:textId="5A9D43C0" w:rsidR="000A4E12" w:rsidRPr="003C0E44" w:rsidRDefault="000A4E12" w:rsidP="003F2014">
      <w:pPr>
        <w:jc w:val="both"/>
      </w:pPr>
      <w:r w:rsidRPr="000A4E12">
        <w:t xml:space="preserve">To address this, we characterized excitatory–inhibitory neuronal co-cultures derived from human iPSCs carrying two GOF </w:t>
      </w:r>
      <w:r w:rsidR="003F36D9" w:rsidRPr="000A4E12">
        <w:t>variants</w:t>
      </w:r>
      <w:r w:rsidR="003F36D9">
        <w:t xml:space="preserve"> and</w:t>
      </w:r>
      <w:r w:rsidR="00BA55E8">
        <w:t xml:space="preserve"> </w:t>
      </w:r>
      <w:r w:rsidRPr="000A4E12">
        <w:t>used this platform to evaluate two pharmacological approaches explored as potential precision medicine strategies.</w:t>
      </w:r>
    </w:p>
    <w:p w14:paraId="5FBC4FE9" w14:textId="4F8C947E" w:rsidR="001924EC" w:rsidRPr="00144C2D" w:rsidRDefault="00736922" w:rsidP="00EC76B0">
      <w:pPr>
        <w:jc w:val="both"/>
        <w:rPr>
          <w:b/>
          <w:bCs/>
          <w:u w:val="single"/>
        </w:rPr>
      </w:pPr>
      <w:r w:rsidRPr="00144C2D">
        <w:rPr>
          <w:b/>
          <w:bCs/>
          <w:u w:val="single"/>
        </w:rPr>
        <w:t>Methods</w:t>
      </w:r>
    </w:p>
    <w:p w14:paraId="35CE907C" w14:textId="6C6CB424" w:rsidR="001740B9" w:rsidRDefault="008423F1" w:rsidP="00261525">
      <w:pPr>
        <w:jc w:val="both"/>
      </w:pPr>
      <w:r w:rsidRPr="008423F1">
        <w:t>Doxycycline-inducible expression of the transcription factors NGN and ASCL1 was used to generate</w:t>
      </w:r>
      <w:r w:rsidR="005F758E">
        <w:t xml:space="preserve"> cortical-like</w:t>
      </w:r>
      <w:r w:rsidRPr="008423F1">
        <w:t xml:space="preserve"> excitatory and inhibitory iPSC-derived neurons</w:t>
      </w:r>
      <w:r w:rsidR="004F3D05">
        <w:t xml:space="preserve">, </w:t>
      </w:r>
      <w:r w:rsidRPr="008423F1">
        <w:t xml:space="preserve">respectively, from two human iPSC lines carrying the GOF KCNQ2 variants R201C and G239S, along with their isogenic controls. </w:t>
      </w:r>
      <w:r w:rsidR="00A47253">
        <w:t>Excitatory and</w:t>
      </w:r>
      <w:r w:rsidR="00A47253" w:rsidRPr="00A47253">
        <w:t xml:space="preserve"> </w:t>
      </w:r>
      <w:r w:rsidR="00A47253" w:rsidRPr="008423F1">
        <w:t>inhibitory</w:t>
      </w:r>
      <w:r w:rsidR="00A47253">
        <w:t xml:space="preserve"> </w:t>
      </w:r>
      <w:r w:rsidR="00671115">
        <w:t>n</w:t>
      </w:r>
      <w:r w:rsidR="00A47253">
        <w:t>eurons</w:t>
      </w:r>
      <w:r w:rsidRPr="008423F1">
        <w:t xml:space="preserve"> were co-cultured at a 70:30 ratio with primary murine astrocytes and maintained for up to 70 days in vitro (DIV).</w:t>
      </w:r>
      <w:r w:rsidR="003B4D27">
        <w:t xml:space="preserve"> </w:t>
      </w:r>
    </w:p>
    <w:p w14:paraId="77F170B5" w14:textId="7A3F02D2" w:rsidR="008423F1" w:rsidRPr="00261525" w:rsidRDefault="00331CE4" w:rsidP="00261525">
      <w:pPr>
        <w:jc w:val="both"/>
      </w:pPr>
      <w:r>
        <w:t>C</w:t>
      </w:r>
      <w:r w:rsidR="008423F1" w:rsidRPr="008423F1">
        <w:t xml:space="preserve">ulture composition, synaptic marker expression, </w:t>
      </w:r>
      <w:r w:rsidR="004610CC" w:rsidRPr="008423F1">
        <w:t xml:space="preserve">and </w:t>
      </w:r>
      <w:r w:rsidR="004610CC">
        <w:t>occurrence</w:t>
      </w:r>
      <w:r>
        <w:t xml:space="preserve"> of</w:t>
      </w:r>
      <w:r w:rsidR="008423F1" w:rsidRPr="008423F1">
        <w:t xml:space="preserve"> the GABA switch</w:t>
      </w:r>
      <w:r>
        <w:t xml:space="preserve"> were </w:t>
      </w:r>
      <w:r w:rsidR="00530AAF">
        <w:t>characterized</w:t>
      </w:r>
      <w:r>
        <w:t xml:space="preserve"> through i</w:t>
      </w:r>
      <w:r w:rsidRPr="008423F1">
        <w:t>mmuno</w:t>
      </w:r>
      <w:r w:rsidR="009E7E0A">
        <w:t xml:space="preserve">cytochemistry </w:t>
      </w:r>
      <w:r w:rsidR="00A5675B">
        <w:t>(ICC)</w:t>
      </w:r>
      <w:r w:rsidR="008423F1" w:rsidRPr="008423F1">
        <w:t xml:space="preserve">. Longitudinal electrophysiological network development </w:t>
      </w:r>
      <w:r w:rsidR="009C722F">
        <w:t>w</w:t>
      </w:r>
      <w:r w:rsidR="0097263D">
        <w:t>as</w:t>
      </w:r>
      <w:r w:rsidR="008423F1" w:rsidRPr="008423F1">
        <w:t xml:space="preserve"> evaluated using high-density microelectrode arrays (HD-MEAs). </w:t>
      </w:r>
    </w:p>
    <w:p w14:paraId="44E56871" w14:textId="72124C55" w:rsidR="001924EC" w:rsidRPr="00AB4A79" w:rsidRDefault="001924EC" w:rsidP="001702CE">
      <w:pPr>
        <w:jc w:val="both"/>
      </w:pPr>
      <w:r w:rsidRPr="00144C2D">
        <w:rPr>
          <w:b/>
          <w:bCs/>
          <w:u w:val="single"/>
        </w:rPr>
        <w:t>Results</w:t>
      </w:r>
    </w:p>
    <w:p w14:paraId="2E1818DB" w14:textId="76DD3591" w:rsidR="00D12F09" w:rsidRDefault="007C279D" w:rsidP="001702CE">
      <w:pPr>
        <w:jc w:val="both"/>
      </w:pPr>
      <w:r>
        <w:lastRenderedPageBreak/>
        <w:t>ICC</w:t>
      </w:r>
      <w:r w:rsidR="00D12F09" w:rsidRPr="00D12F09">
        <w:t xml:space="preserve"> for GABA and MAP2 confirmed the successful establishment of excitatory–inhibitory neuronal co-cultures, which maintained the expected 70:30 ratio up to DIV70 and </w:t>
      </w:r>
      <w:r w:rsidR="00456188">
        <w:t xml:space="preserve">showed </w:t>
      </w:r>
      <w:r w:rsidR="00D12F09" w:rsidRPr="00D12F09">
        <w:t xml:space="preserve">progressive maturation over time. Across this period, the KCC2/NKCC1 expression ratio increased from 0.4 to 0.6, </w:t>
      </w:r>
      <w:r w:rsidR="0063688C">
        <w:t>reflecting</w:t>
      </w:r>
      <w:r w:rsidR="00D12F09" w:rsidRPr="00D12F09">
        <w:t xml:space="preserve"> the developmental shift in GABAergic signaling from depolarizing to inhibitory. Functionally, pharmacological blockade of GABA</w:t>
      </w:r>
      <w:r w:rsidR="00E21DF2">
        <w:rPr>
          <w:vertAlign w:val="subscript"/>
        </w:rPr>
        <w:t>A</w:t>
      </w:r>
      <w:r w:rsidR="00D12F09" w:rsidRPr="00D12F09">
        <w:t xml:space="preserve"> receptors with 100 µM picrotoxin (PTX) induced an approximately fivefold increase in network activity in DIV70 co-cultures, whereas no effect was observed in glutamatergic monocultures, supporting the presence of functional inhibitory transmission. Furthermore, ICC of the presynaptic markers </w:t>
      </w:r>
      <w:proofErr w:type="spellStart"/>
      <w:r w:rsidR="00D12F09" w:rsidRPr="00D12F09">
        <w:t>vGlut</w:t>
      </w:r>
      <w:proofErr w:type="spellEnd"/>
      <w:r w:rsidR="00D12F09" w:rsidRPr="00D12F09">
        <w:t xml:space="preserve"> and VGAT confirmed the </w:t>
      </w:r>
      <w:r w:rsidR="00E352D1">
        <w:t xml:space="preserve">presence </w:t>
      </w:r>
      <w:r w:rsidR="00E352D1" w:rsidRPr="00D12F09">
        <w:t>of</w:t>
      </w:r>
      <w:r w:rsidR="00D12F09" w:rsidRPr="00D12F09">
        <w:t xml:space="preserve"> glutamatergic and GABAergic synapses</w:t>
      </w:r>
      <w:r w:rsidR="000A21D4">
        <w:t>.</w:t>
      </w:r>
    </w:p>
    <w:p w14:paraId="249E3A04" w14:textId="77777777" w:rsidR="0023755E" w:rsidRDefault="0023755E" w:rsidP="001702CE">
      <w:pPr>
        <w:jc w:val="both"/>
      </w:pPr>
      <w:r w:rsidRPr="0023755E">
        <w:t xml:space="preserve">KCNQ2-GOF lines maintained overall excitatory–inhibitory co-culture composition but showed reduced survival. ICC indicated a delayed shift in GABAergic signaling (DIV56 in GOF vs DIV42 in controls) and reduced glutamatergic </w:t>
      </w:r>
      <w:proofErr w:type="spellStart"/>
      <w:r w:rsidRPr="0023755E">
        <w:t>presynapses</w:t>
      </w:r>
      <w:proofErr w:type="spellEnd"/>
      <w:r w:rsidRPr="0023755E">
        <w:t>. HD-MEA recordings revealed delayed activity onset and a hypoexcitable phenotype, with decreased firing rate, burst frequency, and spikes per burst. Finally, amitriptyline and donepezil, proposed precision therapies for GOF patients, were tested in KCNQ2-G239S co-cultures under acute and chronic conditions; unexpectedly, both further suppressed overall and network-synchronized activity, exacerbating the hypoexcitable phenotype.</w:t>
      </w:r>
    </w:p>
    <w:p w14:paraId="2725ED62" w14:textId="3A0D2055" w:rsidR="00736922" w:rsidRPr="0023755E" w:rsidRDefault="00736922" w:rsidP="001702CE">
      <w:pPr>
        <w:jc w:val="both"/>
      </w:pPr>
      <w:r w:rsidRPr="00144C2D">
        <w:rPr>
          <w:b/>
          <w:bCs/>
          <w:u w:val="single"/>
        </w:rPr>
        <w:t>Conclusions</w:t>
      </w:r>
    </w:p>
    <w:p w14:paraId="5DCBA202" w14:textId="5ACB95F4" w:rsidR="00FD2A90" w:rsidRPr="007B1F22" w:rsidRDefault="00766159" w:rsidP="008C2B55">
      <w:pPr>
        <w:jc w:val="both"/>
      </w:pPr>
      <w:r w:rsidRPr="00766159">
        <w:t xml:space="preserve">These results validate a robust excitatory–inhibitory co-culture model and demonstrate that KCNQ2-GOF </w:t>
      </w:r>
      <w:r w:rsidR="00951F8C">
        <w:t>variants</w:t>
      </w:r>
      <w:r w:rsidR="0041774D">
        <w:t xml:space="preserve"> </w:t>
      </w:r>
      <w:r w:rsidRPr="00766159">
        <w:t xml:space="preserve">disrupt neuronal maturation and network function. </w:t>
      </w:r>
      <w:r w:rsidR="00FD4F98">
        <w:t>They</w:t>
      </w:r>
      <w:r w:rsidRPr="00766159">
        <w:t xml:space="preserve"> provide new insight into KCNQ2-GOF encephalopathy and may inform the development of effective therapeutic strategies.</w:t>
      </w:r>
    </w:p>
    <w:p w14:paraId="165A6132" w14:textId="7E903F9A" w:rsidR="009B4F3A" w:rsidRDefault="009B4F3A" w:rsidP="009B4F3A">
      <w:pPr>
        <w:jc w:val="both"/>
      </w:pPr>
    </w:p>
    <w:p w14:paraId="244F7AEE" w14:textId="77777777" w:rsidR="009B4F3A" w:rsidRDefault="009B4F3A" w:rsidP="009B4F3A">
      <w:pPr>
        <w:jc w:val="both"/>
      </w:pPr>
    </w:p>
    <w:p w14:paraId="3A6D8A3B" w14:textId="0EBEAD9C" w:rsidR="00A824C8" w:rsidRPr="008C2B55" w:rsidRDefault="00A824C8" w:rsidP="008C2B55">
      <w:pPr>
        <w:jc w:val="both"/>
        <w:rPr>
          <w:u w:val="single"/>
        </w:rPr>
      </w:pPr>
    </w:p>
    <w:sectPr w:rsidR="00A824C8" w:rsidRPr="008C2B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F183" w14:textId="77777777" w:rsidR="004A506B" w:rsidRPr="00144C2D" w:rsidRDefault="004A506B" w:rsidP="003D1FF6">
      <w:pPr>
        <w:spacing w:after="0" w:line="240" w:lineRule="auto"/>
      </w:pPr>
      <w:r w:rsidRPr="00144C2D">
        <w:separator/>
      </w:r>
    </w:p>
  </w:endnote>
  <w:endnote w:type="continuationSeparator" w:id="0">
    <w:p w14:paraId="0414C8C7" w14:textId="77777777" w:rsidR="004A506B" w:rsidRPr="00144C2D" w:rsidRDefault="004A506B" w:rsidP="003D1FF6">
      <w:pPr>
        <w:spacing w:after="0" w:line="240" w:lineRule="auto"/>
      </w:pPr>
      <w:r w:rsidRPr="00144C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B72E" w14:textId="77777777" w:rsidR="004A506B" w:rsidRPr="00144C2D" w:rsidRDefault="004A506B" w:rsidP="003D1FF6">
      <w:pPr>
        <w:spacing w:after="0" w:line="240" w:lineRule="auto"/>
      </w:pPr>
      <w:r w:rsidRPr="00144C2D">
        <w:separator/>
      </w:r>
    </w:p>
  </w:footnote>
  <w:footnote w:type="continuationSeparator" w:id="0">
    <w:p w14:paraId="5370B346" w14:textId="77777777" w:rsidR="004A506B" w:rsidRPr="00144C2D" w:rsidRDefault="004A506B" w:rsidP="003D1FF6">
      <w:pPr>
        <w:spacing w:after="0" w:line="240" w:lineRule="auto"/>
      </w:pPr>
      <w:r w:rsidRPr="00144C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2C9E" w14:textId="77777777" w:rsidR="00522C7F" w:rsidRPr="00144C2D" w:rsidRDefault="002D0B24" w:rsidP="003D1FF6">
    <w:pPr>
      <w:pStyle w:val="Header"/>
    </w:pPr>
    <w:r w:rsidRPr="00144C2D"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C0A6289-8865-4673-A30C-FFFE9D3B69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93F"/>
    <w:multiLevelType w:val="hybridMultilevel"/>
    <w:tmpl w:val="398E4432"/>
    <w:lvl w:ilvl="0" w:tplc="73ACFC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36A2A"/>
    <w:multiLevelType w:val="hybridMultilevel"/>
    <w:tmpl w:val="3342F534"/>
    <w:lvl w:ilvl="0" w:tplc="73ACFC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23345">
    <w:abstractNumId w:val="1"/>
  </w:num>
  <w:num w:numId="2" w16cid:durableId="147085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11EC9"/>
    <w:rsid w:val="00013735"/>
    <w:rsid w:val="00015F29"/>
    <w:rsid w:val="00021067"/>
    <w:rsid w:val="00030F1F"/>
    <w:rsid w:val="00043B0A"/>
    <w:rsid w:val="00046072"/>
    <w:rsid w:val="00050891"/>
    <w:rsid w:val="00054DCC"/>
    <w:rsid w:val="00065149"/>
    <w:rsid w:val="00066A08"/>
    <w:rsid w:val="000713CC"/>
    <w:rsid w:val="00072586"/>
    <w:rsid w:val="00075A08"/>
    <w:rsid w:val="000925CA"/>
    <w:rsid w:val="00093D1B"/>
    <w:rsid w:val="00096B7E"/>
    <w:rsid w:val="000A0439"/>
    <w:rsid w:val="000A21D4"/>
    <w:rsid w:val="000A4E12"/>
    <w:rsid w:val="000A681E"/>
    <w:rsid w:val="000A6E2E"/>
    <w:rsid w:val="000A75BE"/>
    <w:rsid w:val="000A7A9B"/>
    <w:rsid w:val="000B2499"/>
    <w:rsid w:val="000B2642"/>
    <w:rsid w:val="000B6281"/>
    <w:rsid w:val="000B7AF2"/>
    <w:rsid w:val="000C4392"/>
    <w:rsid w:val="000C76CD"/>
    <w:rsid w:val="000D4A7D"/>
    <w:rsid w:val="000E04EC"/>
    <w:rsid w:val="000E3F1A"/>
    <w:rsid w:val="000E6735"/>
    <w:rsid w:val="000F1619"/>
    <w:rsid w:val="000F4CC8"/>
    <w:rsid w:val="00110B60"/>
    <w:rsid w:val="0011474E"/>
    <w:rsid w:val="0011572A"/>
    <w:rsid w:val="00122702"/>
    <w:rsid w:val="001247A9"/>
    <w:rsid w:val="00124D71"/>
    <w:rsid w:val="00125001"/>
    <w:rsid w:val="0012518B"/>
    <w:rsid w:val="00142FD2"/>
    <w:rsid w:val="00144BA6"/>
    <w:rsid w:val="00144C2D"/>
    <w:rsid w:val="00147ADC"/>
    <w:rsid w:val="001563F7"/>
    <w:rsid w:val="001626CF"/>
    <w:rsid w:val="00165454"/>
    <w:rsid w:val="00167606"/>
    <w:rsid w:val="001702CE"/>
    <w:rsid w:val="001740B9"/>
    <w:rsid w:val="0018414B"/>
    <w:rsid w:val="00190A83"/>
    <w:rsid w:val="001924EC"/>
    <w:rsid w:val="0019524D"/>
    <w:rsid w:val="001A26E1"/>
    <w:rsid w:val="001A4366"/>
    <w:rsid w:val="001A4EBB"/>
    <w:rsid w:val="001B5213"/>
    <w:rsid w:val="001B582F"/>
    <w:rsid w:val="001C37C5"/>
    <w:rsid w:val="001C3D38"/>
    <w:rsid w:val="001D0324"/>
    <w:rsid w:val="001D0CF4"/>
    <w:rsid w:val="001D3939"/>
    <w:rsid w:val="001D4E2B"/>
    <w:rsid w:val="001E22A9"/>
    <w:rsid w:val="001E2DB3"/>
    <w:rsid w:val="001E6EDA"/>
    <w:rsid w:val="001F117C"/>
    <w:rsid w:val="001F3B63"/>
    <w:rsid w:val="0020179D"/>
    <w:rsid w:val="002026C0"/>
    <w:rsid w:val="00202E52"/>
    <w:rsid w:val="00204305"/>
    <w:rsid w:val="002117D6"/>
    <w:rsid w:val="00211DC5"/>
    <w:rsid w:val="002209AF"/>
    <w:rsid w:val="002224D5"/>
    <w:rsid w:val="002272CB"/>
    <w:rsid w:val="00227EF9"/>
    <w:rsid w:val="002328FC"/>
    <w:rsid w:val="00232C10"/>
    <w:rsid w:val="00237247"/>
    <w:rsid w:val="0023755E"/>
    <w:rsid w:val="0024196D"/>
    <w:rsid w:val="00241D7C"/>
    <w:rsid w:val="00243735"/>
    <w:rsid w:val="002439DF"/>
    <w:rsid w:val="00245916"/>
    <w:rsid w:val="00260742"/>
    <w:rsid w:val="002608BB"/>
    <w:rsid w:val="00261525"/>
    <w:rsid w:val="00270CA0"/>
    <w:rsid w:val="002711AA"/>
    <w:rsid w:val="00274C13"/>
    <w:rsid w:val="00275763"/>
    <w:rsid w:val="00276669"/>
    <w:rsid w:val="002769C2"/>
    <w:rsid w:val="002822B6"/>
    <w:rsid w:val="002857CA"/>
    <w:rsid w:val="00285894"/>
    <w:rsid w:val="00285986"/>
    <w:rsid w:val="00286390"/>
    <w:rsid w:val="00287BC2"/>
    <w:rsid w:val="00291039"/>
    <w:rsid w:val="0029124E"/>
    <w:rsid w:val="002A31A3"/>
    <w:rsid w:val="002B3C00"/>
    <w:rsid w:val="002B6155"/>
    <w:rsid w:val="002C65C4"/>
    <w:rsid w:val="002D0B24"/>
    <w:rsid w:val="002D1708"/>
    <w:rsid w:val="002D7864"/>
    <w:rsid w:val="002E5FB1"/>
    <w:rsid w:val="002F5F96"/>
    <w:rsid w:val="00304372"/>
    <w:rsid w:val="003063E5"/>
    <w:rsid w:val="00312450"/>
    <w:rsid w:val="003148B1"/>
    <w:rsid w:val="00317A29"/>
    <w:rsid w:val="00321BB5"/>
    <w:rsid w:val="0033098C"/>
    <w:rsid w:val="00331CE4"/>
    <w:rsid w:val="003407DB"/>
    <w:rsid w:val="00342863"/>
    <w:rsid w:val="00343CE8"/>
    <w:rsid w:val="00344482"/>
    <w:rsid w:val="003444FA"/>
    <w:rsid w:val="0036251D"/>
    <w:rsid w:val="00362EE0"/>
    <w:rsid w:val="00364772"/>
    <w:rsid w:val="00367D1F"/>
    <w:rsid w:val="003801A4"/>
    <w:rsid w:val="00384C2C"/>
    <w:rsid w:val="00385621"/>
    <w:rsid w:val="003932EE"/>
    <w:rsid w:val="00393508"/>
    <w:rsid w:val="003955B5"/>
    <w:rsid w:val="003A027C"/>
    <w:rsid w:val="003A4F4E"/>
    <w:rsid w:val="003B3444"/>
    <w:rsid w:val="003B4BD9"/>
    <w:rsid w:val="003B4D27"/>
    <w:rsid w:val="003B5017"/>
    <w:rsid w:val="003C0E44"/>
    <w:rsid w:val="003C3994"/>
    <w:rsid w:val="003C5FB1"/>
    <w:rsid w:val="003D1FF6"/>
    <w:rsid w:val="003D6E76"/>
    <w:rsid w:val="003D757E"/>
    <w:rsid w:val="003D7CA3"/>
    <w:rsid w:val="003E0881"/>
    <w:rsid w:val="003F01C2"/>
    <w:rsid w:val="003F2014"/>
    <w:rsid w:val="003F36D9"/>
    <w:rsid w:val="003F59F8"/>
    <w:rsid w:val="003F6EAC"/>
    <w:rsid w:val="0040008E"/>
    <w:rsid w:val="004113C9"/>
    <w:rsid w:val="00411FA9"/>
    <w:rsid w:val="0041423B"/>
    <w:rsid w:val="00415950"/>
    <w:rsid w:val="004168C7"/>
    <w:rsid w:val="0041774D"/>
    <w:rsid w:val="00427F11"/>
    <w:rsid w:val="00432D88"/>
    <w:rsid w:val="00433C97"/>
    <w:rsid w:val="00441B9A"/>
    <w:rsid w:val="00442190"/>
    <w:rsid w:val="004423F6"/>
    <w:rsid w:val="00450401"/>
    <w:rsid w:val="00452A21"/>
    <w:rsid w:val="0045360D"/>
    <w:rsid w:val="00456188"/>
    <w:rsid w:val="0045699F"/>
    <w:rsid w:val="00460895"/>
    <w:rsid w:val="004610CC"/>
    <w:rsid w:val="00461136"/>
    <w:rsid w:val="00464566"/>
    <w:rsid w:val="00464B4B"/>
    <w:rsid w:val="00466FB5"/>
    <w:rsid w:val="00467998"/>
    <w:rsid w:val="00476224"/>
    <w:rsid w:val="004825A8"/>
    <w:rsid w:val="00485F82"/>
    <w:rsid w:val="004949FF"/>
    <w:rsid w:val="00495577"/>
    <w:rsid w:val="00497212"/>
    <w:rsid w:val="004974D5"/>
    <w:rsid w:val="004A146F"/>
    <w:rsid w:val="004A4831"/>
    <w:rsid w:val="004A506B"/>
    <w:rsid w:val="004B51D6"/>
    <w:rsid w:val="004C1D35"/>
    <w:rsid w:val="004C24F4"/>
    <w:rsid w:val="004D0841"/>
    <w:rsid w:val="004D0914"/>
    <w:rsid w:val="004D7C12"/>
    <w:rsid w:val="004E35AA"/>
    <w:rsid w:val="004E3D62"/>
    <w:rsid w:val="004E5EBB"/>
    <w:rsid w:val="004E6CB0"/>
    <w:rsid w:val="004E6F3B"/>
    <w:rsid w:val="004E7C01"/>
    <w:rsid w:val="004F3D05"/>
    <w:rsid w:val="00505F95"/>
    <w:rsid w:val="005207BB"/>
    <w:rsid w:val="005215A7"/>
    <w:rsid w:val="00522C7F"/>
    <w:rsid w:val="00530AAF"/>
    <w:rsid w:val="00531AB8"/>
    <w:rsid w:val="005429D4"/>
    <w:rsid w:val="005437F7"/>
    <w:rsid w:val="005509D8"/>
    <w:rsid w:val="005512FE"/>
    <w:rsid w:val="00554101"/>
    <w:rsid w:val="00561711"/>
    <w:rsid w:val="00566AA9"/>
    <w:rsid w:val="005745CE"/>
    <w:rsid w:val="005776C1"/>
    <w:rsid w:val="0058110B"/>
    <w:rsid w:val="00587140"/>
    <w:rsid w:val="00591E87"/>
    <w:rsid w:val="00594BDD"/>
    <w:rsid w:val="00597C6B"/>
    <w:rsid w:val="005A419D"/>
    <w:rsid w:val="005A6787"/>
    <w:rsid w:val="005A6B43"/>
    <w:rsid w:val="005B6C1B"/>
    <w:rsid w:val="005C066B"/>
    <w:rsid w:val="005D5921"/>
    <w:rsid w:val="005D7380"/>
    <w:rsid w:val="005E3A56"/>
    <w:rsid w:val="005E6E54"/>
    <w:rsid w:val="005F0CA1"/>
    <w:rsid w:val="005F758E"/>
    <w:rsid w:val="0060386D"/>
    <w:rsid w:val="00603A4F"/>
    <w:rsid w:val="00606217"/>
    <w:rsid w:val="006075B0"/>
    <w:rsid w:val="00613328"/>
    <w:rsid w:val="0062284C"/>
    <w:rsid w:val="00622E4F"/>
    <w:rsid w:val="00622F16"/>
    <w:rsid w:val="00635B26"/>
    <w:rsid w:val="0063688C"/>
    <w:rsid w:val="00637024"/>
    <w:rsid w:val="00637B09"/>
    <w:rsid w:val="006426B9"/>
    <w:rsid w:val="006459CB"/>
    <w:rsid w:val="0065166C"/>
    <w:rsid w:val="00655A9D"/>
    <w:rsid w:val="00671115"/>
    <w:rsid w:val="006720EC"/>
    <w:rsid w:val="00686B81"/>
    <w:rsid w:val="00690412"/>
    <w:rsid w:val="00697211"/>
    <w:rsid w:val="00697FB8"/>
    <w:rsid w:val="006A016E"/>
    <w:rsid w:val="006A0D1D"/>
    <w:rsid w:val="006A3EA6"/>
    <w:rsid w:val="006B09FE"/>
    <w:rsid w:val="006B61B7"/>
    <w:rsid w:val="006C1B78"/>
    <w:rsid w:val="006C7CE5"/>
    <w:rsid w:val="006D0EB5"/>
    <w:rsid w:val="006D12BF"/>
    <w:rsid w:val="006D4D2E"/>
    <w:rsid w:val="006D7276"/>
    <w:rsid w:val="006D7A30"/>
    <w:rsid w:val="006E00F4"/>
    <w:rsid w:val="006E7753"/>
    <w:rsid w:val="006F4698"/>
    <w:rsid w:val="006F4C21"/>
    <w:rsid w:val="006F551D"/>
    <w:rsid w:val="006F6E56"/>
    <w:rsid w:val="00700082"/>
    <w:rsid w:val="0070248B"/>
    <w:rsid w:val="0072098C"/>
    <w:rsid w:val="00721ADB"/>
    <w:rsid w:val="00722DB0"/>
    <w:rsid w:val="00736922"/>
    <w:rsid w:val="00741C7D"/>
    <w:rsid w:val="00742EE7"/>
    <w:rsid w:val="00747F7A"/>
    <w:rsid w:val="0075127F"/>
    <w:rsid w:val="007512BD"/>
    <w:rsid w:val="00754EF4"/>
    <w:rsid w:val="007563F6"/>
    <w:rsid w:val="00760485"/>
    <w:rsid w:val="00763F95"/>
    <w:rsid w:val="00766159"/>
    <w:rsid w:val="00766FE1"/>
    <w:rsid w:val="00770E94"/>
    <w:rsid w:val="00771383"/>
    <w:rsid w:val="007720FA"/>
    <w:rsid w:val="00775FD8"/>
    <w:rsid w:val="00785E4D"/>
    <w:rsid w:val="00786A79"/>
    <w:rsid w:val="00793308"/>
    <w:rsid w:val="007949F8"/>
    <w:rsid w:val="007A340F"/>
    <w:rsid w:val="007A5F76"/>
    <w:rsid w:val="007B1F22"/>
    <w:rsid w:val="007B37B8"/>
    <w:rsid w:val="007C279D"/>
    <w:rsid w:val="007C3121"/>
    <w:rsid w:val="007C5FDF"/>
    <w:rsid w:val="007C6400"/>
    <w:rsid w:val="007D2C7D"/>
    <w:rsid w:val="007D71D1"/>
    <w:rsid w:val="007E663B"/>
    <w:rsid w:val="007F5FCF"/>
    <w:rsid w:val="00800ADF"/>
    <w:rsid w:val="0080108E"/>
    <w:rsid w:val="008075FA"/>
    <w:rsid w:val="00817D8D"/>
    <w:rsid w:val="00823644"/>
    <w:rsid w:val="00825425"/>
    <w:rsid w:val="008258C4"/>
    <w:rsid w:val="00825D3E"/>
    <w:rsid w:val="008302B4"/>
    <w:rsid w:val="008331C3"/>
    <w:rsid w:val="0084052F"/>
    <w:rsid w:val="00841EFB"/>
    <w:rsid w:val="008423F1"/>
    <w:rsid w:val="00846B7C"/>
    <w:rsid w:val="00852EDF"/>
    <w:rsid w:val="00853289"/>
    <w:rsid w:val="00856E4C"/>
    <w:rsid w:val="00861EB7"/>
    <w:rsid w:val="008622B1"/>
    <w:rsid w:val="00864E03"/>
    <w:rsid w:val="00864E4A"/>
    <w:rsid w:val="008651E2"/>
    <w:rsid w:val="00866429"/>
    <w:rsid w:val="00866578"/>
    <w:rsid w:val="008729AE"/>
    <w:rsid w:val="00874B28"/>
    <w:rsid w:val="008806BB"/>
    <w:rsid w:val="00880859"/>
    <w:rsid w:val="0088362D"/>
    <w:rsid w:val="0088419E"/>
    <w:rsid w:val="008859E6"/>
    <w:rsid w:val="00891A2A"/>
    <w:rsid w:val="008A2F33"/>
    <w:rsid w:val="008A351E"/>
    <w:rsid w:val="008A781F"/>
    <w:rsid w:val="008B2F22"/>
    <w:rsid w:val="008B5F93"/>
    <w:rsid w:val="008C2B55"/>
    <w:rsid w:val="008C3608"/>
    <w:rsid w:val="008C378C"/>
    <w:rsid w:val="008C7B41"/>
    <w:rsid w:val="008D191A"/>
    <w:rsid w:val="008E2DA4"/>
    <w:rsid w:val="008E4E83"/>
    <w:rsid w:val="008E7A0F"/>
    <w:rsid w:val="008F0C1E"/>
    <w:rsid w:val="008F2515"/>
    <w:rsid w:val="008F2F0F"/>
    <w:rsid w:val="0091617F"/>
    <w:rsid w:val="009174DF"/>
    <w:rsid w:val="009178CF"/>
    <w:rsid w:val="00927A24"/>
    <w:rsid w:val="00930F12"/>
    <w:rsid w:val="00934131"/>
    <w:rsid w:val="00951F8C"/>
    <w:rsid w:val="00954A40"/>
    <w:rsid w:val="009551F7"/>
    <w:rsid w:val="00966E58"/>
    <w:rsid w:val="009678A2"/>
    <w:rsid w:val="00970008"/>
    <w:rsid w:val="0097263D"/>
    <w:rsid w:val="009726B2"/>
    <w:rsid w:val="0097345C"/>
    <w:rsid w:val="00986106"/>
    <w:rsid w:val="00997865"/>
    <w:rsid w:val="009A00CF"/>
    <w:rsid w:val="009A568C"/>
    <w:rsid w:val="009A7E11"/>
    <w:rsid w:val="009B2806"/>
    <w:rsid w:val="009B4DF1"/>
    <w:rsid w:val="009B4F3A"/>
    <w:rsid w:val="009B5893"/>
    <w:rsid w:val="009C2FD4"/>
    <w:rsid w:val="009C722F"/>
    <w:rsid w:val="009E4735"/>
    <w:rsid w:val="009E6B69"/>
    <w:rsid w:val="009E7E0A"/>
    <w:rsid w:val="009F535A"/>
    <w:rsid w:val="00A02335"/>
    <w:rsid w:val="00A03774"/>
    <w:rsid w:val="00A03C7F"/>
    <w:rsid w:val="00A04585"/>
    <w:rsid w:val="00A05FE9"/>
    <w:rsid w:val="00A21783"/>
    <w:rsid w:val="00A263C3"/>
    <w:rsid w:val="00A3709C"/>
    <w:rsid w:val="00A420A0"/>
    <w:rsid w:val="00A43532"/>
    <w:rsid w:val="00A47253"/>
    <w:rsid w:val="00A52983"/>
    <w:rsid w:val="00A5675B"/>
    <w:rsid w:val="00A612F8"/>
    <w:rsid w:val="00A630A1"/>
    <w:rsid w:val="00A6588C"/>
    <w:rsid w:val="00A65E4F"/>
    <w:rsid w:val="00A677B7"/>
    <w:rsid w:val="00A71A98"/>
    <w:rsid w:val="00A72686"/>
    <w:rsid w:val="00A73E58"/>
    <w:rsid w:val="00A769E6"/>
    <w:rsid w:val="00A824C8"/>
    <w:rsid w:val="00A83E5C"/>
    <w:rsid w:val="00A87C78"/>
    <w:rsid w:val="00A97407"/>
    <w:rsid w:val="00AB007E"/>
    <w:rsid w:val="00AB4A79"/>
    <w:rsid w:val="00AB7557"/>
    <w:rsid w:val="00AB7879"/>
    <w:rsid w:val="00AD3C30"/>
    <w:rsid w:val="00AD5609"/>
    <w:rsid w:val="00AD6A6E"/>
    <w:rsid w:val="00AD7EB3"/>
    <w:rsid w:val="00AE04DB"/>
    <w:rsid w:val="00AF248E"/>
    <w:rsid w:val="00AF4A71"/>
    <w:rsid w:val="00B10389"/>
    <w:rsid w:val="00B17FBC"/>
    <w:rsid w:val="00B22655"/>
    <w:rsid w:val="00B238AF"/>
    <w:rsid w:val="00B25E53"/>
    <w:rsid w:val="00B302FA"/>
    <w:rsid w:val="00B36DC6"/>
    <w:rsid w:val="00B37010"/>
    <w:rsid w:val="00B37537"/>
    <w:rsid w:val="00B4103D"/>
    <w:rsid w:val="00B438F6"/>
    <w:rsid w:val="00B6014F"/>
    <w:rsid w:val="00B6166B"/>
    <w:rsid w:val="00B65663"/>
    <w:rsid w:val="00B66F31"/>
    <w:rsid w:val="00B77A50"/>
    <w:rsid w:val="00B8459D"/>
    <w:rsid w:val="00B9076D"/>
    <w:rsid w:val="00B96B9C"/>
    <w:rsid w:val="00B96DFF"/>
    <w:rsid w:val="00B97458"/>
    <w:rsid w:val="00BA0331"/>
    <w:rsid w:val="00BA55E8"/>
    <w:rsid w:val="00BA6A8D"/>
    <w:rsid w:val="00BB1CAA"/>
    <w:rsid w:val="00BC0D68"/>
    <w:rsid w:val="00BC53E6"/>
    <w:rsid w:val="00BC5C8C"/>
    <w:rsid w:val="00BD3893"/>
    <w:rsid w:val="00BD4C79"/>
    <w:rsid w:val="00BD76EC"/>
    <w:rsid w:val="00BF0968"/>
    <w:rsid w:val="00BF1B53"/>
    <w:rsid w:val="00BF2FB4"/>
    <w:rsid w:val="00BF4A52"/>
    <w:rsid w:val="00BF788F"/>
    <w:rsid w:val="00C009C1"/>
    <w:rsid w:val="00C10F47"/>
    <w:rsid w:val="00C14123"/>
    <w:rsid w:val="00C1673E"/>
    <w:rsid w:val="00C21CBD"/>
    <w:rsid w:val="00C238F7"/>
    <w:rsid w:val="00C340BD"/>
    <w:rsid w:val="00C34E28"/>
    <w:rsid w:val="00C357E0"/>
    <w:rsid w:val="00C41DF2"/>
    <w:rsid w:val="00C439BC"/>
    <w:rsid w:val="00C5023A"/>
    <w:rsid w:val="00C5484F"/>
    <w:rsid w:val="00C631D5"/>
    <w:rsid w:val="00C65798"/>
    <w:rsid w:val="00C662AB"/>
    <w:rsid w:val="00C67B74"/>
    <w:rsid w:val="00C8039C"/>
    <w:rsid w:val="00C81F22"/>
    <w:rsid w:val="00C90C2C"/>
    <w:rsid w:val="00C933D7"/>
    <w:rsid w:val="00C96202"/>
    <w:rsid w:val="00C96519"/>
    <w:rsid w:val="00CA2CD6"/>
    <w:rsid w:val="00CA4D49"/>
    <w:rsid w:val="00CA58FC"/>
    <w:rsid w:val="00CA63B4"/>
    <w:rsid w:val="00CA7D84"/>
    <w:rsid w:val="00CB37D3"/>
    <w:rsid w:val="00CB41B5"/>
    <w:rsid w:val="00CC64CB"/>
    <w:rsid w:val="00CE1B97"/>
    <w:rsid w:val="00CE28CF"/>
    <w:rsid w:val="00CE3275"/>
    <w:rsid w:val="00CF005F"/>
    <w:rsid w:val="00CF70DC"/>
    <w:rsid w:val="00D0273E"/>
    <w:rsid w:val="00D03E4A"/>
    <w:rsid w:val="00D068F6"/>
    <w:rsid w:val="00D113D5"/>
    <w:rsid w:val="00D12F09"/>
    <w:rsid w:val="00D17AFC"/>
    <w:rsid w:val="00D20169"/>
    <w:rsid w:val="00D308A3"/>
    <w:rsid w:val="00D360AB"/>
    <w:rsid w:val="00D44551"/>
    <w:rsid w:val="00D516AC"/>
    <w:rsid w:val="00D528A2"/>
    <w:rsid w:val="00D57F44"/>
    <w:rsid w:val="00D60856"/>
    <w:rsid w:val="00D62F61"/>
    <w:rsid w:val="00D667CC"/>
    <w:rsid w:val="00D81C6E"/>
    <w:rsid w:val="00D93E73"/>
    <w:rsid w:val="00D9551A"/>
    <w:rsid w:val="00D95620"/>
    <w:rsid w:val="00D97283"/>
    <w:rsid w:val="00DA06A7"/>
    <w:rsid w:val="00DA09E9"/>
    <w:rsid w:val="00DA3AEE"/>
    <w:rsid w:val="00DA4DF6"/>
    <w:rsid w:val="00DA6E4B"/>
    <w:rsid w:val="00DC1228"/>
    <w:rsid w:val="00DC17A5"/>
    <w:rsid w:val="00DC2FDA"/>
    <w:rsid w:val="00DC489E"/>
    <w:rsid w:val="00DC7C42"/>
    <w:rsid w:val="00DE77A7"/>
    <w:rsid w:val="00DF0B61"/>
    <w:rsid w:val="00DF0E9E"/>
    <w:rsid w:val="00DF7A2D"/>
    <w:rsid w:val="00E0506F"/>
    <w:rsid w:val="00E05FB8"/>
    <w:rsid w:val="00E07FE2"/>
    <w:rsid w:val="00E14A14"/>
    <w:rsid w:val="00E15A59"/>
    <w:rsid w:val="00E1735F"/>
    <w:rsid w:val="00E215FD"/>
    <w:rsid w:val="00E21DF2"/>
    <w:rsid w:val="00E25B41"/>
    <w:rsid w:val="00E27FBB"/>
    <w:rsid w:val="00E30F2F"/>
    <w:rsid w:val="00E32AE8"/>
    <w:rsid w:val="00E35271"/>
    <w:rsid w:val="00E352D1"/>
    <w:rsid w:val="00E3538B"/>
    <w:rsid w:val="00E35E93"/>
    <w:rsid w:val="00E40991"/>
    <w:rsid w:val="00E41BAD"/>
    <w:rsid w:val="00E4613F"/>
    <w:rsid w:val="00E5603A"/>
    <w:rsid w:val="00E56CE3"/>
    <w:rsid w:val="00E57757"/>
    <w:rsid w:val="00E60005"/>
    <w:rsid w:val="00E71D9F"/>
    <w:rsid w:val="00E74404"/>
    <w:rsid w:val="00E7773E"/>
    <w:rsid w:val="00E84A26"/>
    <w:rsid w:val="00E903F0"/>
    <w:rsid w:val="00EA09C1"/>
    <w:rsid w:val="00EC07A0"/>
    <w:rsid w:val="00EC3AF9"/>
    <w:rsid w:val="00EC76B0"/>
    <w:rsid w:val="00ED2007"/>
    <w:rsid w:val="00EE1073"/>
    <w:rsid w:val="00EE4995"/>
    <w:rsid w:val="00EE5FE4"/>
    <w:rsid w:val="00EE771B"/>
    <w:rsid w:val="00EE7E50"/>
    <w:rsid w:val="00EF1F7F"/>
    <w:rsid w:val="00F00CA1"/>
    <w:rsid w:val="00F01BEF"/>
    <w:rsid w:val="00F0798C"/>
    <w:rsid w:val="00F134AD"/>
    <w:rsid w:val="00F13A0D"/>
    <w:rsid w:val="00F16D07"/>
    <w:rsid w:val="00F22019"/>
    <w:rsid w:val="00F3017E"/>
    <w:rsid w:val="00F324E3"/>
    <w:rsid w:val="00F41EEE"/>
    <w:rsid w:val="00F46FC4"/>
    <w:rsid w:val="00F60E2A"/>
    <w:rsid w:val="00F63876"/>
    <w:rsid w:val="00F64A98"/>
    <w:rsid w:val="00F64B29"/>
    <w:rsid w:val="00F65516"/>
    <w:rsid w:val="00F66EDC"/>
    <w:rsid w:val="00F800E6"/>
    <w:rsid w:val="00F8418F"/>
    <w:rsid w:val="00F84D8D"/>
    <w:rsid w:val="00F92456"/>
    <w:rsid w:val="00FA5B72"/>
    <w:rsid w:val="00FA7276"/>
    <w:rsid w:val="00FB03BB"/>
    <w:rsid w:val="00FC17C6"/>
    <w:rsid w:val="00FD16A6"/>
    <w:rsid w:val="00FD2A90"/>
    <w:rsid w:val="00FD4F98"/>
    <w:rsid w:val="00FD6846"/>
    <w:rsid w:val="00FD6C66"/>
    <w:rsid w:val="00FE3D38"/>
    <w:rsid w:val="00FE4027"/>
    <w:rsid w:val="00FF609B"/>
    <w:rsid w:val="01F903F4"/>
    <w:rsid w:val="0544E3EB"/>
    <w:rsid w:val="2530D48E"/>
    <w:rsid w:val="49FACA91"/>
    <w:rsid w:val="653E9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4A36"/>
  <w15:chartTrackingRefBased/>
  <w15:docId w15:val="{13EE2C63-358B-4A0D-AC34-61AC1F5D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  <w:style w:type="character" w:styleId="CommentReference">
    <w:name w:val="annotation reference"/>
    <w:basedOn w:val="DefaultParagraphFont"/>
    <w:uiPriority w:val="99"/>
    <w:semiHidden/>
    <w:unhideWhenUsed/>
    <w:rsid w:val="0091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17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17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613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Noortje Zonnekein</cp:lastModifiedBy>
  <cp:revision>8</cp:revision>
  <dcterms:created xsi:type="dcterms:W3CDTF">2026-05-03T18:39:00Z</dcterms:created>
  <dcterms:modified xsi:type="dcterms:W3CDTF">2026-05-03T19:01:00Z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