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Pr="00144C2D" w:rsidRDefault="00736922" w:rsidP="00823644">
      <w:pPr>
        <w:rPr>
          <w:b/>
          <w:bCs/>
        </w:rPr>
      </w:pPr>
    </w:p>
    <w:p w14:paraId="228686B2" w14:textId="77777777" w:rsidR="00281833" w:rsidRDefault="00281833" w:rsidP="00823644">
      <w:pPr>
        <w:rPr>
          <w:b/>
          <w:bCs/>
        </w:rPr>
      </w:pPr>
      <w:r w:rsidRPr="00281833">
        <w:rPr>
          <w:b/>
          <w:bCs/>
        </w:rPr>
        <w:t>ASO–MEDIATED RESCUE OF ELECTROPHYSIOLOGICAL NETWORK DYSFUNCTION IN IPSC-DERIVED KCNQ2 GAIN-OF-FUNCTION NEURONS</w:t>
      </w:r>
    </w:p>
    <w:p w14:paraId="50BF0D1B" w14:textId="6C876DA7" w:rsidR="00700082" w:rsidRPr="00144C2D" w:rsidRDefault="001924EC" w:rsidP="00823644">
      <w:pPr>
        <w:rPr>
          <w:vertAlign w:val="superscript"/>
        </w:rPr>
      </w:pPr>
      <w:r w:rsidRPr="00144C2D">
        <w:t>Marcus Kaji</w:t>
      </w:r>
      <w:r w:rsidR="001702CE" w:rsidRPr="00144C2D">
        <w:rPr>
          <w:vertAlign w:val="superscript"/>
        </w:rPr>
        <w:t>1,2,3,4</w:t>
      </w:r>
      <w:r w:rsidRPr="00144C2D">
        <w:t xml:space="preserve">, </w:t>
      </w:r>
      <w:r w:rsidRPr="00144C2D">
        <w:rPr>
          <w:u w:val="single"/>
        </w:rPr>
        <w:t>Lidia Carotenuto</w:t>
      </w:r>
      <w:r w:rsidR="001702CE" w:rsidRPr="00144C2D">
        <w:rPr>
          <w:vertAlign w:val="superscript"/>
        </w:rPr>
        <w:t>1,2,3,4</w:t>
      </w:r>
      <w:r w:rsidRPr="00144C2D">
        <w:t xml:space="preserve">, </w:t>
      </w:r>
      <w:r w:rsidR="00700082" w:rsidRPr="00144C2D">
        <w:t>Nina Dirkx</w:t>
      </w:r>
      <w:r w:rsidR="00BB1CAA" w:rsidRPr="00144C2D">
        <w:rPr>
          <w:vertAlign w:val="superscript"/>
        </w:rPr>
        <w:t>1,5</w:t>
      </w:r>
      <w:r w:rsidR="00700082" w:rsidRPr="00144C2D">
        <w:t xml:space="preserve">, </w:t>
      </w:r>
      <w:r w:rsidRPr="00144C2D">
        <w:t>Noor Zonneke</w:t>
      </w:r>
      <w:r w:rsidR="001702CE" w:rsidRPr="00144C2D">
        <w:t>in</w:t>
      </w:r>
      <w:r w:rsidR="001702CE" w:rsidRPr="00144C2D">
        <w:rPr>
          <w:vertAlign w:val="superscript"/>
        </w:rPr>
        <w:t>1,5</w:t>
      </w:r>
      <w:r w:rsidRPr="00144C2D">
        <w:t>,</w:t>
      </w:r>
      <w:r w:rsidR="00700082" w:rsidRPr="00144C2D">
        <w:t xml:space="preserve"> Els De Vriendt</w:t>
      </w:r>
      <w:r w:rsidR="00700082" w:rsidRPr="00144C2D">
        <w:rPr>
          <w:vertAlign w:val="superscript"/>
        </w:rPr>
        <w:t>1</w:t>
      </w:r>
      <w:r w:rsidR="00700082" w:rsidRPr="00144C2D">
        <w:t>, Giusy Carleo</w:t>
      </w:r>
      <w:r w:rsidR="00700082" w:rsidRPr="00144C2D">
        <w:rPr>
          <w:vertAlign w:val="superscript"/>
        </w:rPr>
        <w:t>6</w:t>
      </w:r>
      <w:r w:rsidR="00700082" w:rsidRPr="00144C2D">
        <w:t>, Francesco Miceli</w:t>
      </w:r>
      <w:r w:rsidR="00700082" w:rsidRPr="00144C2D">
        <w:rPr>
          <w:vertAlign w:val="superscript"/>
        </w:rPr>
        <w:t>6</w:t>
      </w:r>
      <w:r w:rsidR="00700082" w:rsidRPr="00144C2D">
        <w:t>, Maurizio Taglialatela</w:t>
      </w:r>
      <w:r w:rsidR="00700082" w:rsidRPr="00144C2D">
        <w:rPr>
          <w:vertAlign w:val="superscript"/>
        </w:rPr>
        <w:t>6</w:t>
      </w:r>
      <w:r w:rsidR="00700082" w:rsidRPr="00144C2D">
        <w:t xml:space="preserve">, </w:t>
      </w:r>
      <w:r w:rsidRPr="00144C2D">
        <w:t>Sarah Weckhuysen</w:t>
      </w:r>
      <w:r w:rsidR="001702CE" w:rsidRPr="00144C2D">
        <w:rPr>
          <w:vertAlign w:val="superscript"/>
        </w:rPr>
        <w:t>1,2,3,4</w:t>
      </w:r>
    </w:p>
    <w:p w14:paraId="50BE3490" w14:textId="04B6E623" w:rsidR="001702CE" w:rsidRPr="00144C2D" w:rsidRDefault="001702CE" w:rsidP="00476224">
      <w:pPr>
        <w:spacing w:after="0" w:line="240" w:lineRule="auto"/>
        <w:jc w:val="both"/>
        <w:rPr>
          <w:i/>
          <w:iCs/>
        </w:rPr>
      </w:pPr>
      <w:r w:rsidRPr="00144C2D">
        <w:rPr>
          <w:i/>
          <w:iCs/>
          <w:vertAlign w:val="superscript"/>
        </w:rPr>
        <w:t>1</w:t>
      </w:r>
      <w:r w:rsidRPr="00144C2D">
        <w:rPr>
          <w:i/>
          <w:iCs/>
        </w:rPr>
        <w:t>VIB Center for Molecular Neurology, VIB, Antwerp, Belgium.</w:t>
      </w:r>
    </w:p>
    <w:p w14:paraId="2BF3627D" w14:textId="123B36ED" w:rsidR="001702CE" w:rsidRPr="00144C2D" w:rsidRDefault="001702CE" w:rsidP="00476224">
      <w:pPr>
        <w:spacing w:after="0" w:line="240" w:lineRule="auto"/>
        <w:jc w:val="both"/>
        <w:rPr>
          <w:i/>
          <w:iCs/>
        </w:rPr>
      </w:pPr>
      <w:r w:rsidRPr="00144C2D">
        <w:rPr>
          <w:i/>
          <w:iCs/>
          <w:vertAlign w:val="superscript"/>
        </w:rPr>
        <w:t>2</w:t>
      </w:r>
      <w:r w:rsidRPr="00144C2D">
        <w:rPr>
          <w:i/>
          <w:iCs/>
        </w:rPr>
        <w:t>μNeuro Research Centre of Excellence, University of Antwerp, Antwerp, Belgium.</w:t>
      </w:r>
    </w:p>
    <w:p w14:paraId="331617A6" w14:textId="083FCA29" w:rsidR="001702CE" w:rsidRPr="00144C2D" w:rsidRDefault="001702CE" w:rsidP="00476224">
      <w:pPr>
        <w:spacing w:after="0" w:line="240" w:lineRule="auto"/>
        <w:jc w:val="both"/>
        <w:rPr>
          <w:i/>
          <w:iCs/>
        </w:rPr>
      </w:pPr>
      <w:r w:rsidRPr="00144C2D">
        <w:rPr>
          <w:i/>
          <w:iCs/>
          <w:vertAlign w:val="superscript"/>
        </w:rPr>
        <w:t>3</w:t>
      </w:r>
      <w:r w:rsidRPr="00144C2D">
        <w:rPr>
          <w:i/>
          <w:iCs/>
        </w:rPr>
        <w:t>Division of Neurology, University Hospital Antwerp, Antwerp, Belgium.</w:t>
      </w:r>
    </w:p>
    <w:p w14:paraId="1224AFE6" w14:textId="44E19260" w:rsidR="001702CE" w:rsidRPr="00144C2D" w:rsidRDefault="001702CE" w:rsidP="00476224">
      <w:pPr>
        <w:spacing w:after="0" w:line="240" w:lineRule="auto"/>
        <w:jc w:val="both"/>
        <w:rPr>
          <w:i/>
          <w:iCs/>
        </w:rPr>
      </w:pPr>
      <w:r w:rsidRPr="00144C2D">
        <w:rPr>
          <w:i/>
          <w:iCs/>
          <w:vertAlign w:val="superscript"/>
        </w:rPr>
        <w:t>4</w:t>
      </w:r>
      <w:r w:rsidRPr="00144C2D">
        <w:rPr>
          <w:i/>
          <w:iCs/>
        </w:rPr>
        <w:t>Translational Neurosciences, Faculty of Medicine and Health Science, University of Antwerp, Antwerp, Belgium.</w:t>
      </w:r>
    </w:p>
    <w:p w14:paraId="4B5D7DF0" w14:textId="77777777" w:rsidR="00BB1CAA" w:rsidRPr="00144C2D" w:rsidRDefault="001702CE" w:rsidP="00476224">
      <w:pPr>
        <w:spacing w:after="0" w:line="240" w:lineRule="auto"/>
        <w:jc w:val="both"/>
      </w:pPr>
      <w:r w:rsidRPr="00144C2D">
        <w:rPr>
          <w:i/>
          <w:iCs/>
          <w:vertAlign w:val="superscript"/>
        </w:rPr>
        <w:t>5</w:t>
      </w:r>
      <w:r w:rsidRPr="00144C2D">
        <w:rPr>
          <w:i/>
          <w:iCs/>
        </w:rPr>
        <w:t>Department of Biomedical Sciences, University of Antwerp, Antwerp, Belgium.</w:t>
      </w:r>
      <w:r w:rsidR="00BB1CAA" w:rsidRPr="00144C2D">
        <w:t xml:space="preserve"> </w:t>
      </w:r>
    </w:p>
    <w:p w14:paraId="7C8460F4" w14:textId="5CB53980" w:rsidR="00700082" w:rsidRPr="00144C2D" w:rsidRDefault="00BB1CAA" w:rsidP="00476224">
      <w:pPr>
        <w:spacing w:after="0" w:line="240" w:lineRule="auto"/>
        <w:jc w:val="both"/>
        <w:rPr>
          <w:i/>
          <w:iCs/>
        </w:rPr>
      </w:pPr>
      <w:r w:rsidRPr="00144C2D">
        <w:rPr>
          <w:i/>
          <w:iCs/>
          <w:vertAlign w:val="superscript"/>
        </w:rPr>
        <w:t>6</w:t>
      </w:r>
      <w:r w:rsidRPr="00144C2D">
        <w:rPr>
          <w:i/>
          <w:iCs/>
        </w:rPr>
        <w:t>Division of Pharmacology, Department of Neuroscience, University of Naples Federico II, Naples, Italy.</w:t>
      </w:r>
    </w:p>
    <w:p w14:paraId="601D2FE1" w14:textId="77777777" w:rsidR="001702CE" w:rsidRPr="00144C2D" w:rsidRDefault="001702CE" w:rsidP="00736922">
      <w:pPr>
        <w:spacing w:after="0"/>
      </w:pPr>
    </w:p>
    <w:p w14:paraId="7E4F0E0B" w14:textId="39DAA8A5" w:rsidR="001924EC" w:rsidRPr="00144C2D" w:rsidRDefault="00736922" w:rsidP="001702CE">
      <w:pPr>
        <w:jc w:val="both"/>
        <w:rPr>
          <w:b/>
          <w:bCs/>
          <w:u w:val="single"/>
        </w:rPr>
      </w:pPr>
      <w:r w:rsidRPr="00144C2D">
        <w:rPr>
          <w:b/>
          <w:bCs/>
          <w:u w:val="single"/>
        </w:rPr>
        <w:t>Introduction</w:t>
      </w:r>
    </w:p>
    <w:p w14:paraId="54955D83" w14:textId="5C87B6EE" w:rsidR="00700082" w:rsidRPr="00144C2D" w:rsidRDefault="00700082" w:rsidP="00700082">
      <w:pPr>
        <w:jc w:val="both"/>
      </w:pPr>
      <w:r w:rsidRPr="00144C2D">
        <w:t xml:space="preserve">Pathogenic gain-of-function (GOF) KCNQ2 variants cause severe developmental disorders </w:t>
      </w:r>
      <w:r w:rsidR="0072196B" w:rsidRPr="0072196B">
        <w:t>characterized by cognitive deficits, behavioral issues, language difficulties, motor impairments and, in some cases, epileptic seizures</w:t>
      </w:r>
      <w:r w:rsidRPr="00144C2D">
        <w:t>. KCNQ2-GOFs remain poorly studied in a neurodevelopmental context, and no targeted therapies are currently available.</w:t>
      </w:r>
    </w:p>
    <w:p w14:paraId="59772901" w14:textId="2C45B1A8" w:rsidR="00700082" w:rsidRPr="00144C2D" w:rsidRDefault="00700082" w:rsidP="00700082">
      <w:pPr>
        <w:jc w:val="both"/>
      </w:pPr>
      <w:r w:rsidRPr="00144C2D">
        <w:t>Antisense oligonucleotides (ASOs) are an emerging therapeutic modality, particularly for rare genetic neurological disorders. Pan-allelic knockdown ASOs represent a promising strategy for KCNQ2-GOF, where haploinsufficiency is generally well tolerated.</w:t>
      </w:r>
    </w:p>
    <w:p w14:paraId="5EF85E3D" w14:textId="604D7A71" w:rsidR="005512FE" w:rsidRPr="00144C2D" w:rsidRDefault="00700082" w:rsidP="005512FE">
      <w:pPr>
        <w:jc w:val="both"/>
      </w:pPr>
      <w:r w:rsidRPr="00144C2D">
        <w:t>In this study, we characterized the electrophysiological phenotype of iPSC-derived excitatory neurons (</w:t>
      </w:r>
      <w:proofErr w:type="spellStart"/>
      <w:r w:rsidRPr="00144C2D">
        <w:t>iNeurons</w:t>
      </w:r>
      <w:proofErr w:type="spellEnd"/>
      <w:r w:rsidRPr="00144C2D">
        <w:t xml:space="preserve">) generated from two patient-derived GOF lines using longitudinal high-density microelectrode array (HD-MEA) recordings. We then evaluated a small library of LNA </w:t>
      </w:r>
      <w:proofErr w:type="spellStart"/>
      <w:r w:rsidRPr="00144C2D">
        <w:t>gapmer</w:t>
      </w:r>
      <w:proofErr w:type="spellEnd"/>
      <w:r w:rsidRPr="00144C2D">
        <w:t xml:space="preserve"> ASOs for their ability to reduce KCNQ2 expression in </w:t>
      </w:r>
      <w:proofErr w:type="spellStart"/>
      <w:r w:rsidRPr="00144C2D">
        <w:t>iNeurons</w:t>
      </w:r>
      <w:proofErr w:type="spellEnd"/>
      <w:r w:rsidRPr="00144C2D">
        <w:t xml:space="preserve"> over time and to restore neuronal network electrophysiological activity.</w:t>
      </w:r>
    </w:p>
    <w:p w14:paraId="5FBC4FE9" w14:textId="4F8C947E" w:rsidR="001924EC" w:rsidRPr="00144C2D" w:rsidRDefault="00736922" w:rsidP="00EC76B0">
      <w:pPr>
        <w:jc w:val="both"/>
        <w:rPr>
          <w:b/>
          <w:bCs/>
          <w:u w:val="single"/>
        </w:rPr>
      </w:pPr>
      <w:r w:rsidRPr="00144C2D">
        <w:rPr>
          <w:b/>
          <w:bCs/>
          <w:u w:val="single"/>
        </w:rPr>
        <w:t>Methods</w:t>
      </w:r>
    </w:p>
    <w:p w14:paraId="358218ED" w14:textId="24EC1072" w:rsidR="001924EC" w:rsidRPr="00144C2D" w:rsidRDefault="0011474E" w:rsidP="001702CE">
      <w:pPr>
        <w:jc w:val="both"/>
      </w:pPr>
      <w:r w:rsidRPr="00144C2D">
        <w:t>Doxycycline</w:t>
      </w:r>
      <w:r w:rsidR="00485F82" w:rsidRPr="00144C2D">
        <w:t xml:space="preserve">-inducible NGN expression was used to generate </w:t>
      </w:r>
      <w:proofErr w:type="spellStart"/>
      <w:r w:rsidR="00485F82" w:rsidRPr="00144C2D">
        <w:t>iNeurons</w:t>
      </w:r>
      <w:proofErr w:type="spellEnd"/>
      <w:r w:rsidR="00485F82" w:rsidRPr="00144C2D">
        <w:t xml:space="preserve"> from t</w:t>
      </w:r>
      <w:r w:rsidR="00EC76B0" w:rsidRPr="00144C2D">
        <w:t>wo p</w:t>
      </w:r>
      <w:r w:rsidR="001924EC" w:rsidRPr="00144C2D">
        <w:t xml:space="preserve">atient-derived iPSC lines carrying </w:t>
      </w:r>
      <w:r w:rsidR="00EC76B0" w:rsidRPr="00144C2D">
        <w:t xml:space="preserve">the </w:t>
      </w:r>
      <w:r w:rsidR="001924EC" w:rsidRPr="00144C2D">
        <w:t>gain-of-function KCNQ2 variants KCNQ2</w:t>
      </w:r>
      <w:r w:rsidR="001924EC" w:rsidRPr="00144C2D">
        <w:rPr>
          <w:vertAlign w:val="superscript"/>
        </w:rPr>
        <w:t>R201C/+</w:t>
      </w:r>
      <w:r w:rsidR="001924EC" w:rsidRPr="00144C2D">
        <w:t xml:space="preserve"> and KCNQ2</w:t>
      </w:r>
      <w:r w:rsidR="001924EC" w:rsidRPr="00144C2D">
        <w:rPr>
          <w:vertAlign w:val="superscript"/>
        </w:rPr>
        <w:t>R201H/+</w:t>
      </w:r>
      <w:r w:rsidR="00485F82" w:rsidRPr="00144C2D">
        <w:t>,</w:t>
      </w:r>
      <w:r w:rsidR="001702CE" w:rsidRPr="00144C2D">
        <w:t xml:space="preserve"> </w:t>
      </w:r>
      <w:r w:rsidR="001924EC" w:rsidRPr="00144C2D">
        <w:t>alongside a CRISPR-corrected isogenic control</w:t>
      </w:r>
      <w:r w:rsidR="00EC76B0" w:rsidRPr="00144C2D">
        <w:t xml:space="preserve"> lin</w:t>
      </w:r>
      <w:r w:rsidR="00700082" w:rsidRPr="00144C2D">
        <w:t>e</w:t>
      </w:r>
      <w:r w:rsidR="001924EC" w:rsidRPr="00144C2D">
        <w:t xml:space="preserve"> and </w:t>
      </w:r>
      <w:r w:rsidR="00485F82" w:rsidRPr="00144C2D">
        <w:t xml:space="preserve">one commercial </w:t>
      </w:r>
      <w:r w:rsidR="001924EC" w:rsidRPr="00144C2D">
        <w:t xml:space="preserve">healthy </w:t>
      </w:r>
      <w:r w:rsidR="00485F82" w:rsidRPr="00144C2D">
        <w:t>line</w:t>
      </w:r>
      <w:r w:rsidR="001924EC" w:rsidRPr="00144C2D">
        <w:t>. Longitudinal electrophysiological network development was assessed using HD-MEAs.</w:t>
      </w:r>
    </w:p>
    <w:p w14:paraId="1E9BBED0" w14:textId="24591493" w:rsidR="001924EC" w:rsidRPr="00144C2D" w:rsidRDefault="001924EC" w:rsidP="001702CE">
      <w:pPr>
        <w:jc w:val="both"/>
      </w:pPr>
      <w:r w:rsidRPr="00144C2D">
        <w:lastRenderedPageBreak/>
        <w:t xml:space="preserve">To explore therapeutic strategies, </w:t>
      </w:r>
      <w:r w:rsidR="00485F82" w:rsidRPr="00144C2D">
        <w:t xml:space="preserve">a library of </w:t>
      </w:r>
      <w:r w:rsidRPr="00144C2D">
        <w:t xml:space="preserve">ASOs targeting KCNQ2 </w:t>
      </w:r>
      <w:r w:rsidR="01F903F4" w:rsidRPr="00144C2D">
        <w:t>was</w:t>
      </w:r>
      <w:r w:rsidRPr="00144C2D">
        <w:t xml:space="preserve"> designed for pan-allelic knockdown. </w:t>
      </w:r>
      <w:r w:rsidR="00700082" w:rsidRPr="00144C2D">
        <w:t xml:space="preserve">KCNQ2-targeting ASOs were applied to neuronal cultures 1 day after plating, then </w:t>
      </w:r>
      <w:r w:rsidRPr="00144C2D">
        <w:t>potency, efficacy, on-target selectivity</w:t>
      </w:r>
      <w:r w:rsidR="005512FE" w:rsidRPr="00144C2D">
        <w:t xml:space="preserve"> of KCNQ2 expression reduction</w:t>
      </w:r>
      <w:r w:rsidRPr="00144C2D">
        <w:t xml:space="preserve">, and preliminary neuronal safety </w:t>
      </w:r>
      <w:r w:rsidR="00700082" w:rsidRPr="00144C2D">
        <w:t xml:space="preserve">were evaluated </w:t>
      </w:r>
      <w:r w:rsidRPr="00144C2D">
        <w:t>following a single exposure</w:t>
      </w:r>
      <w:r w:rsidR="00700082" w:rsidRPr="00144C2D">
        <w:t xml:space="preserve"> in </w:t>
      </w:r>
      <w:proofErr w:type="spellStart"/>
      <w:r w:rsidR="00700082" w:rsidRPr="00144C2D">
        <w:t>iNeurons</w:t>
      </w:r>
      <w:proofErr w:type="spellEnd"/>
      <w:r w:rsidRPr="00144C2D">
        <w:t xml:space="preserve">. </w:t>
      </w:r>
      <w:r w:rsidR="49FACA91" w:rsidRPr="00144C2D">
        <w:t>Effects</w:t>
      </w:r>
      <w:r w:rsidR="00700082" w:rsidRPr="00144C2D">
        <w:t xml:space="preserve"> on neuronal </w:t>
      </w:r>
      <w:r w:rsidRPr="00144C2D">
        <w:t xml:space="preserve">network activity </w:t>
      </w:r>
      <w:r w:rsidR="653E96D5" w:rsidRPr="00144C2D">
        <w:t>were</w:t>
      </w:r>
      <w:r w:rsidRPr="00144C2D">
        <w:t xml:space="preserve"> monitored over time across multiple concentrations.</w:t>
      </w:r>
    </w:p>
    <w:p w14:paraId="44E56871" w14:textId="72124C55" w:rsidR="001924EC" w:rsidRPr="00144C2D" w:rsidRDefault="001924EC" w:rsidP="001702CE">
      <w:pPr>
        <w:jc w:val="both"/>
        <w:rPr>
          <w:b/>
          <w:bCs/>
          <w:u w:val="single"/>
        </w:rPr>
      </w:pPr>
      <w:r w:rsidRPr="00144C2D">
        <w:rPr>
          <w:b/>
          <w:bCs/>
          <w:u w:val="single"/>
        </w:rPr>
        <w:t>Results</w:t>
      </w:r>
    </w:p>
    <w:p w14:paraId="6BBD2D59" w14:textId="4A3418F8" w:rsidR="001924EC" w:rsidRPr="00144C2D" w:rsidRDefault="001702CE" w:rsidP="001702CE">
      <w:pPr>
        <w:jc w:val="both"/>
      </w:pPr>
      <w:r w:rsidRPr="00144C2D">
        <w:t>Both KCNQ2</w:t>
      </w:r>
      <w:r w:rsidRPr="00144C2D">
        <w:rPr>
          <w:vertAlign w:val="superscript"/>
        </w:rPr>
        <w:t>R201C/+</w:t>
      </w:r>
      <w:r w:rsidRPr="00144C2D">
        <w:t xml:space="preserve"> and KCNQ2</w:t>
      </w:r>
      <w:r w:rsidRPr="00144C2D">
        <w:rPr>
          <w:vertAlign w:val="superscript"/>
        </w:rPr>
        <w:t>R201H/+</w:t>
      </w:r>
      <w:r w:rsidR="001924EC" w:rsidRPr="00144C2D">
        <w:t xml:space="preserve"> </w:t>
      </w:r>
      <w:proofErr w:type="spellStart"/>
      <w:r w:rsidRPr="00144C2D">
        <w:t>iNeurons</w:t>
      </w:r>
      <w:proofErr w:type="spellEnd"/>
      <w:r w:rsidR="001924EC" w:rsidRPr="00144C2D">
        <w:t xml:space="preserve"> exhibited delayed network maturation and an overall hypoexcitable phenotype compared to controls. This was characterized by reduced spike frequency and impaired synchronized network bursting, including decreased burst frequency, duration, and intra-burst activity.</w:t>
      </w:r>
    </w:p>
    <w:p w14:paraId="3B94EEA2" w14:textId="44A164DB" w:rsidR="00AB007E" w:rsidRDefault="008C2B55" w:rsidP="001702CE">
      <w:pPr>
        <w:jc w:val="both"/>
      </w:pPr>
      <w:r w:rsidRPr="00144C2D">
        <w:t>In our library, three l</w:t>
      </w:r>
      <w:r w:rsidR="001924EC" w:rsidRPr="00144C2D">
        <w:t>ead KCNQ2-targeting ASOs demonstrated strong potency (IC</w:t>
      </w:r>
      <w:r w:rsidR="001924EC" w:rsidRPr="00144C2D">
        <w:rPr>
          <w:vertAlign w:val="subscript"/>
        </w:rPr>
        <w:t>50</w:t>
      </w:r>
      <w:r w:rsidR="001924EC" w:rsidRPr="00144C2D">
        <w:t xml:space="preserve">&lt;100 </w:t>
      </w:r>
      <w:proofErr w:type="spellStart"/>
      <w:r w:rsidR="001924EC" w:rsidRPr="00144C2D">
        <w:t>nM</w:t>
      </w:r>
      <w:proofErr w:type="spellEnd"/>
      <w:r w:rsidR="001924EC" w:rsidRPr="00144C2D">
        <w:t xml:space="preserve">), high knockdown efficiency (&gt;85%), and on-target selectivity. </w:t>
      </w:r>
      <w:r w:rsidR="00637024">
        <w:t xml:space="preserve">Among these, </w:t>
      </w:r>
      <w:r w:rsidR="00637024" w:rsidRPr="00637024">
        <w:t>ASO3</w:t>
      </w:r>
      <w:r w:rsidR="00E74404">
        <w:t xml:space="preserve"> </w:t>
      </w:r>
      <w:r w:rsidR="00637024">
        <w:t xml:space="preserve">showed the </w:t>
      </w:r>
      <w:r w:rsidR="00637024" w:rsidRPr="00637024">
        <w:t xml:space="preserve">best </w:t>
      </w:r>
      <w:r w:rsidR="004949FF" w:rsidRPr="00637024">
        <w:t>efficacy</w:t>
      </w:r>
      <w:r w:rsidR="00637024" w:rsidRPr="00637024">
        <w:t xml:space="preserve"> and </w:t>
      </w:r>
      <w:r w:rsidR="004949FF" w:rsidRPr="00637024">
        <w:t>safety</w:t>
      </w:r>
      <w:r w:rsidR="00637024" w:rsidRPr="00637024">
        <w:t xml:space="preserve"> profile</w:t>
      </w:r>
      <w:r w:rsidR="004949FF">
        <w:t xml:space="preserve">, </w:t>
      </w:r>
      <w:r w:rsidR="004949FF" w:rsidRPr="004949FF">
        <w:t>with no apparent safety concerns following a single exposure</w:t>
      </w:r>
      <w:r w:rsidR="00637024">
        <w:t xml:space="preserve"> </w:t>
      </w:r>
      <w:r w:rsidR="00C631D5">
        <w:t xml:space="preserve">in </w:t>
      </w:r>
      <w:proofErr w:type="spellStart"/>
      <w:r w:rsidR="00C631D5">
        <w:t>iNeurons</w:t>
      </w:r>
      <w:proofErr w:type="spellEnd"/>
      <w:r w:rsidR="00C631D5">
        <w:t>.</w:t>
      </w:r>
    </w:p>
    <w:p w14:paraId="72B508C1" w14:textId="711D03AB" w:rsidR="00736922" w:rsidRPr="00144C2D" w:rsidRDefault="001924EC" w:rsidP="001702CE">
      <w:pPr>
        <w:jc w:val="both"/>
      </w:pPr>
      <w:r w:rsidRPr="00144C2D">
        <w:t>ASO</w:t>
      </w:r>
      <w:r w:rsidR="00C631D5">
        <w:t>3</w:t>
      </w:r>
      <w:r w:rsidRPr="00144C2D">
        <w:t xml:space="preserve"> treatment normalized </w:t>
      </w:r>
      <w:r w:rsidR="008C2B55" w:rsidRPr="00144C2D">
        <w:t>KCNQ2</w:t>
      </w:r>
      <w:r w:rsidR="008C2B55" w:rsidRPr="00144C2D">
        <w:rPr>
          <w:vertAlign w:val="superscript"/>
        </w:rPr>
        <w:t>R201C/+</w:t>
      </w:r>
      <w:r w:rsidR="008C2B55" w:rsidRPr="00144C2D">
        <w:t xml:space="preserve"> and KCNQ2</w:t>
      </w:r>
      <w:r w:rsidR="008C2B55" w:rsidRPr="00144C2D">
        <w:rPr>
          <w:vertAlign w:val="superscript"/>
        </w:rPr>
        <w:t xml:space="preserve">R201H/+ </w:t>
      </w:r>
      <w:r w:rsidRPr="00144C2D">
        <w:t xml:space="preserve">network development toward wild-type activity across major electrophysiological metrics, with a clear concentration-dependent effect (1 µM vs 50 </w:t>
      </w:r>
      <w:proofErr w:type="spellStart"/>
      <w:r w:rsidRPr="00144C2D">
        <w:t>nM</w:t>
      </w:r>
      <w:proofErr w:type="spellEnd"/>
      <w:r w:rsidRPr="00144C2D">
        <w:t>).</w:t>
      </w:r>
    </w:p>
    <w:p w14:paraId="2725ED62" w14:textId="55D3F9DD" w:rsidR="00736922" w:rsidRPr="00144C2D" w:rsidRDefault="00736922" w:rsidP="001702CE">
      <w:pPr>
        <w:jc w:val="both"/>
        <w:rPr>
          <w:b/>
          <w:bCs/>
          <w:u w:val="single"/>
        </w:rPr>
      </w:pPr>
      <w:r w:rsidRPr="00144C2D">
        <w:rPr>
          <w:b/>
          <w:bCs/>
          <w:u w:val="single"/>
        </w:rPr>
        <w:t>Conclusions</w:t>
      </w:r>
    </w:p>
    <w:p w14:paraId="05757AF0" w14:textId="1F817B7C" w:rsidR="001924EC" w:rsidRPr="008C2B55" w:rsidRDefault="008C2B55" w:rsidP="008C2B55">
      <w:pPr>
        <w:jc w:val="both"/>
        <w:rPr>
          <w:u w:val="single"/>
        </w:rPr>
      </w:pPr>
      <w:r w:rsidRPr="00144C2D">
        <w:t xml:space="preserve">In conclusion, in this study we identified a distinct KCNQ2 GOF neuronal network phenotype and demonstrated that HD-MEA recordings in </w:t>
      </w:r>
      <w:proofErr w:type="spellStart"/>
      <w:r w:rsidRPr="00144C2D">
        <w:t>iNeurons</w:t>
      </w:r>
      <w:proofErr w:type="spellEnd"/>
      <w:r w:rsidRPr="00144C2D">
        <w:t xml:space="preserve"> provide a suitable platform for the in vitro evaluation of therapeutic strategies. Our findings further support the potential of LNA </w:t>
      </w:r>
      <w:proofErr w:type="spellStart"/>
      <w:r w:rsidRPr="00144C2D">
        <w:t>gapmer</w:t>
      </w:r>
      <w:proofErr w:type="spellEnd"/>
      <w:r w:rsidRPr="00144C2D">
        <w:t xml:space="preserve"> ASOs as a means to modulate KCNQ2 expression and ameliorate disease-associated network dysfunction.</w:t>
      </w:r>
    </w:p>
    <w:sectPr w:rsidR="001924EC" w:rsidRPr="008C2B5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78D" w14:textId="77777777" w:rsidR="00C460B5" w:rsidRPr="00144C2D" w:rsidRDefault="00C460B5" w:rsidP="003D1FF6">
      <w:pPr>
        <w:spacing w:after="0" w:line="240" w:lineRule="auto"/>
      </w:pPr>
      <w:r w:rsidRPr="00144C2D">
        <w:separator/>
      </w:r>
    </w:p>
  </w:endnote>
  <w:endnote w:type="continuationSeparator" w:id="0">
    <w:p w14:paraId="36284BE0" w14:textId="77777777" w:rsidR="00C460B5" w:rsidRPr="00144C2D" w:rsidRDefault="00C460B5" w:rsidP="003D1FF6">
      <w:pPr>
        <w:spacing w:after="0" w:line="240" w:lineRule="auto"/>
      </w:pPr>
      <w:r w:rsidRPr="00144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CAA2" w14:textId="77777777" w:rsidR="00C460B5" w:rsidRPr="00144C2D" w:rsidRDefault="00C460B5" w:rsidP="003D1FF6">
      <w:pPr>
        <w:spacing w:after="0" w:line="240" w:lineRule="auto"/>
      </w:pPr>
      <w:r w:rsidRPr="00144C2D">
        <w:separator/>
      </w:r>
    </w:p>
  </w:footnote>
  <w:footnote w:type="continuationSeparator" w:id="0">
    <w:p w14:paraId="34D18DD6" w14:textId="77777777" w:rsidR="00C460B5" w:rsidRPr="00144C2D" w:rsidRDefault="00C460B5" w:rsidP="003D1FF6">
      <w:pPr>
        <w:spacing w:after="0" w:line="240" w:lineRule="auto"/>
      </w:pPr>
      <w:r w:rsidRPr="00144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522C7F" w:rsidRPr="00144C2D" w:rsidRDefault="00522C7F" w:rsidP="003D1FF6">
    <w:pPr>
      <w:pStyle w:val="Header"/>
    </w:pPr>
    <w:r w:rsidRPr="00144C2D">
      <w:rPr>
        <w:noProof/>
      </w:rPr>
      <w:drawing>
        <wp:inline distT="0" distB="0" distL="0" distR="0" wp14:anchorId="5967C75B" wp14:editId="363D0524">
          <wp:extent cx="5731510" cy="1062990"/>
          <wp:effectExtent l="0" t="0" r="2540" b="3810"/>
          <wp:docPr id="1553173692" name="Picture 1" descr="A person in a blue shirt&#10;&#10;AI-generated content may be incorrect.">
            <a:extLst xmlns:a="http://schemas.openxmlformats.org/drawingml/2006/main">
              <a:ext uri="{FF2B5EF4-FFF2-40B4-BE49-F238E27FC236}">
                <a16:creationId xmlns:a16="http://schemas.microsoft.com/office/drawing/2014/main" id="{11B1479E-E3B7-42CA-BD1A-EB411076E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011EC9"/>
    <w:rsid w:val="00054DCC"/>
    <w:rsid w:val="0011474E"/>
    <w:rsid w:val="00122702"/>
    <w:rsid w:val="00144C2D"/>
    <w:rsid w:val="001702CE"/>
    <w:rsid w:val="001924EC"/>
    <w:rsid w:val="001A4366"/>
    <w:rsid w:val="002209AF"/>
    <w:rsid w:val="00241D7C"/>
    <w:rsid w:val="00281833"/>
    <w:rsid w:val="003D1FF6"/>
    <w:rsid w:val="00461136"/>
    <w:rsid w:val="00476224"/>
    <w:rsid w:val="00485F82"/>
    <w:rsid w:val="004949FF"/>
    <w:rsid w:val="004E6F3B"/>
    <w:rsid w:val="00522C7F"/>
    <w:rsid w:val="005512FE"/>
    <w:rsid w:val="005B6C1B"/>
    <w:rsid w:val="005E6E54"/>
    <w:rsid w:val="00637024"/>
    <w:rsid w:val="00700082"/>
    <w:rsid w:val="0072196B"/>
    <w:rsid w:val="00736922"/>
    <w:rsid w:val="00741C7D"/>
    <w:rsid w:val="00766FE1"/>
    <w:rsid w:val="00823644"/>
    <w:rsid w:val="00841EFB"/>
    <w:rsid w:val="008729AE"/>
    <w:rsid w:val="008C2B55"/>
    <w:rsid w:val="00954A40"/>
    <w:rsid w:val="00976A26"/>
    <w:rsid w:val="00AB007E"/>
    <w:rsid w:val="00B6166B"/>
    <w:rsid w:val="00BB1CAA"/>
    <w:rsid w:val="00C460B5"/>
    <w:rsid w:val="00C631D5"/>
    <w:rsid w:val="00C96202"/>
    <w:rsid w:val="00CA63B4"/>
    <w:rsid w:val="00DC2FDA"/>
    <w:rsid w:val="00E5603A"/>
    <w:rsid w:val="00E74404"/>
    <w:rsid w:val="00EA09C1"/>
    <w:rsid w:val="00EC76B0"/>
    <w:rsid w:val="00EE4995"/>
    <w:rsid w:val="00F66EDC"/>
    <w:rsid w:val="01F903F4"/>
    <w:rsid w:val="2530D48E"/>
    <w:rsid w:val="49FACA91"/>
    <w:rsid w:val="653E9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4A36"/>
  <w15:chartTrackingRefBased/>
  <w15:docId w15:val="{2A5463F6-5F5B-41F2-93A2-236C8029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44"/>
    <w:rPr>
      <w:rFonts w:eastAsiaTheme="majorEastAsia" w:cstheme="majorBidi"/>
      <w:color w:val="272727" w:themeColor="text1" w:themeTint="D8"/>
    </w:rPr>
  </w:style>
  <w:style w:type="paragraph" w:styleId="Title">
    <w:name w:val="Title"/>
    <w:basedOn w:val="Normal"/>
    <w:next w:val="Normal"/>
    <w:link w:val="TitleChar"/>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44"/>
    <w:pPr>
      <w:spacing w:before="160"/>
      <w:jc w:val="center"/>
    </w:pPr>
    <w:rPr>
      <w:i/>
      <w:iCs/>
      <w:color w:val="404040" w:themeColor="text1" w:themeTint="BF"/>
    </w:rPr>
  </w:style>
  <w:style w:type="character" w:customStyle="1" w:styleId="QuoteChar">
    <w:name w:val="Quote Char"/>
    <w:basedOn w:val="DefaultParagraphFont"/>
    <w:link w:val="Quote"/>
    <w:uiPriority w:val="29"/>
    <w:rsid w:val="00823644"/>
    <w:rPr>
      <w:i/>
      <w:iCs/>
      <w:color w:val="404040" w:themeColor="text1" w:themeTint="BF"/>
    </w:rPr>
  </w:style>
  <w:style w:type="paragraph" w:styleId="ListParagraph">
    <w:name w:val="List Paragraph"/>
    <w:basedOn w:val="Normal"/>
    <w:uiPriority w:val="34"/>
    <w:qFormat/>
    <w:rsid w:val="00823644"/>
    <w:pPr>
      <w:ind w:left="720"/>
      <w:contextualSpacing/>
    </w:pPr>
  </w:style>
  <w:style w:type="character" w:styleId="IntenseEmphasis">
    <w:name w:val="Intense Emphasis"/>
    <w:basedOn w:val="DefaultParagraphFont"/>
    <w:uiPriority w:val="21"/>
    <w:qFormat/>
    <w:rsid w:val="00823644"/>
    <w:rPr>
      <w:i/>
      <w:iCs/>
      <w:color w:val="0F4761" w:themeColor="accent1" w:themeShade="BF"/>
    </w:rPr>
  </w:style>
  <w:style w:type="paragraph" w:styleId="IntenseQuote">
    <w:name w:val="Intense Quote"/>
    <w:basedOn w:val="Normal"/>
    <w:next w:val="Normal"/>
    <w:link w:val="IntenseQuoteChar"/>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644"/>
    <w:rPr>
      <w:i/>
      <w:iCs/>
      <w:color w:val="0F4761" w:themeColor="accent1" w:themeShade="BF"/>
    </w:rPr>
  </w:style>
  <w:style w:type="character" w:styleId="IntenseReference">
    <w:name w:val="Intense Reference"/>
    <w:basedOn w:val="DefaultParagraphFont"/>
    <w:uiPriority w:val="32"/>
    <w:qFormat/>
    <w:rsid w:val="00823644"/>
    <w:rPr>
      <w:b/>
      <w:bCs/>
      <w:smallCaps/>
      <w:color w:val="0F4761" w:themeColor="accent1" w:themeShade="BF"/>
      <w:spacing w:val="5"/>
    </w:rPr>
  </w:style>
  <w:style w:type="paragraph" w:styleId="Header">
    <w:name w:val="header"/>
    <w:basedOn w:val="Normal"/>
    <w:link w:val="HeaderChar"/>
    <w:uiPriority w:val="99"/>
    <w:unhideWhenUsed/>
    <w:rsid w:val="003D1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F6"/>
  </w:style>
  <w:style w:type="paragraph" w:styleId="Footer">
    <w:name w:val="footer"/>
    <w:basedOn w:val="Normal"/>
    <w:link w:val="FooterChar"/>
    <w:uiPriority w:val="99"/>
    <w:unhideWhenUsed/>
    <w:rsid w:val="003D1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Lidia Carotenuto</cp:lastModifiedBy>
  <cp:revision>6</cp:revision>
  <dcterms:created xsi:type="dcterms:W3CDTF">2026-05-03T10:21:00Z</dcterms:created>
  <dcterms:modified xsi:type="dcterms:W3CDTF">2026-05-03T18:07:00Z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