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C0657" w14:textId="77777777" w:rsidR="00736922" w:rsidRDefault="00736922" w:rsidP="00823644">
      <w:pPr>
        <w:rPr>
          <w:b/>
          <w:bCs/>
          <w:lang w:val="en-GB"/>
        </w:rPr>
      </w:pPr>
    </w:p>
    <w:p w14:paraId="0C304334" w14:textId="129B8C74" w:rsidR="00C33412" w:rsidRDefault="00C33412" w:rsidP="00C33412">
      <w:pPr>
        <w:jc w:val="center"/>
        <w:rPr>
          <w:b/>
          <w:bCs/>
          <w:lang w:val="en-GB"/>
        </w:rPr>
      </w:pPr>
      <w:r w:rsidRPr="00C33412">
        <w:rPr>
          <w:b/>
          <w:bCs/>
          <w:lang w:val="en-GB"/>
        </w:rPr>
        <w:t>Tuning Kv7/KCNQ channel density through Endosomal 2Cl</w:t>
      </w:r>
      <w:r w:rsidRPr="00C33412">
        <w:rPr>
          <w:b/>
          <w:bCs/>
          <w:vertAlign w:val="superscript"/>
          <w:lang w:val="en-GB"/>
        </w:rPr>
        <w:t>-</w:t>
      </w:r>
      <w:r w:rsidRPr="00C33412">
        <w:rPr>
          <w:b/>
          <w:bCs/>
          <w:lang w:val="en-GB"/>
        </w:rPr>
        <w:t>/H</w:t>
      </w:r>
      <w:r w:rsidRPr="00C33412">
        <w:rPr>
          <w:b/>
          <w:bCs/>
          <w:vertAlign w:val="superscript"/>
          <w:lang w:val="en-GB"/>
        </w:rPr>
        <w:t>+</w:t>
      </w:r>
      <w:r w:rsidRPr="00C33412">
        <w:rPr>
          <w:b/>
          <w:bCs/>
          <w:lang w:val="en-GB"/>
        </w:rPr>
        <w:t xml:space="preserve"> exchange</w:t>
      </w:r>
      <w:r>
        <w:rPr>
          <w:b/>
          <w:bCs/>
          <w:lang w:val="en-GB"/>
        </w:rPr>
        <w:t xml:space="preserve">: </w:t>
      </w:r>
      <w:r w:rsidRPr="00C33412">
        <w:rPr>
          <w:b/>
          <w:bCs/>
        </w:rPr>
        <w:t>Implications for Neuronal Excitability</w:t>
      </w:r>
    </w:p>
    <w:p w14:paraId="2DA1DD0E" w14:textId="77777777" w:rsidR="00C33412" w:rsidRDefault="00C33412" w:rsidP="00823644">
      <w:pPr>
        <w:rPr>
          <w:b/>
          <w:bCs/>
          <w:lang w:val="en-GB"/>
        </w:rPr>
      </w:pPr>
    </w:p>
    <w:p w14:paraId="7627DBF1" w14:textId="07B84EAC" w:rsidR="001D72EE" w:rsidRDefault="001D72EE" w:rsidP="00823644">
      <w:pPr>
        <w:rPr>
          <w:lang w:val="en-GB"/>
        </w:rPr>
      </w:pPr>
      <w:proofErr w:type="spellStart"/>
      <w:r w:rsidRPr="001D72EE">
        <w:rPr>
          <w:lang w:val="en-GB"/>
        </w:rPr>
        <w:t>Guanxiao</w:t>
      </w:r>
      <w:proofErr w:type="spellEnd"/>
      <w:r w:rsidRPr="001D72EE">
        <w:rPr>
          <w:lang w:val="en-GB"/>
        </w:rPr>
        <w:t xml:space="preserve"> Qi</w:t>
      </w:r>
      <w:r w:rsidRPr="001D72EE">
        <w:rPr>
          <w:vertAlign w:val="superscript"/>
          <w:lang w:val="en-GB"/>
        </w:rPr>
        <w:t>1</w:t>
      </w:r>
      <w:r w:rsidRPr="001D72EE">
        <w:rPr>
          <w:lang w:val="en-GB"/>
        </w:rPr>
        <w:t>, Alberto D</w:t>
      </w:r>
      <w:r w:rsidR="005C60A9">
        <w:rPr>
          <w:lang w:val="en-GB"/>
        </w:rPr>
        <w:t>í</w:t>
      </w:r>
      <w:r w:rsidRPr="001D72EE">
        <w:rPr>
          <w:lang w:val="en-GB"/>
        </w:rPr>
        <w:t>az-Castillo</w:t>
      </w:r>
      <w:r w:rsidRPr="001D72EE">
        <w:rPr>
          <w:vertAlign w:val="superscript"/>
          <w:lang w:val="en-GB"/>
        </w:rPr>
        <w:t>2</w:t>
      </w:r>
      <w:r w:rsidRPr="001D72EE">
        <w:rPr>
          <w:lang w:val="en-GB"/>
        </w:rPr>
        <w:t>, Christoph Aretzweiler</w:t>
      </w:r>
      <w:r w:rsidRPr="001D72EE">
        <w:rPr>
          <w:vertAlign w:val="superscript"/>
          <w:lang w:val="en-GB"/>
        </w:rPr>
        <w:t>2</w:t>
      </w:r>
      <w:r w:rsidRPr="001D72EE">
        <w:rPr>
          <w:lang w:val="en-GB"/>
        </w:rPr>
        <w:t>, Lilly Steinmetz</w:t>
      </w:r>
      <w:r w:rsidRPr="001D72EE">
        <w:rPr>
          <w:vertAlign w:val="superscript"/>
          <w:lang w:val="en-GB"/>
        </w:rPr>
        <w:t>2</w:t>
      </w:r>
      <w:r w:rsidRPr="001D72EE">
        <w:rPr>
          <w:lang w:val="en-GB"/>
        </w:rPr>
        <w:t>, Stefanie Bungert-Plümke</w:t>
      </w:r>
      <w:r w:rsidRPr="001D72EE">
        <w:rPr>
          <w:vertAlign w:val="superscript"/>
          <w:lang w:val="en-GB"/>
        </w:rPr>
        <w:t>2</w:t>
      </w:r>
      <w:r w:rsidRPr="001D72EE">
        <w:rPr>
          <w:lang w:val="en-GB"/>
        </w:rPr>
        <w:t>, Frank Müller</w:t>
      </w:r>
      <w:r w:rsidRPr="001D72EE">
        <w:rPr>
          <w:vertAlign w:val="superscript"/>
          <w:lang w:val="en-GB"/>
        </w:rPr>
        <w:t>2</w:t>
      </w:r>
      <w:r w:rsidRPr="001D72EE">
        <w:rPr>
          <w:lang w:val="en-GB"/>
        </w:rPr>
        <w:t>, Dirk Feldmeyer</w:t>
      </w:r>
      <w:r w:rsidRPr="001D72EE">
        <w:rPr>
          <w:vertAlign w:val="superscript"/>
          <w:lang w:val="en-GB"/>
        </w:rPr>
        <w:t>1</w:t>
      </w:r>
      <w:r w:rsidRPr="001D72EE">
        <w:rPr>
          <w:lang w:val="en-GB"/>
        </w:rPr>
        <w:t xml:space="preserve">, </w:t>
      </w:r>
      <w:r w:rsidRPr="007B508A">
        <w:rPr>
          <w:b/>
          <w:bCs/>
          <w:u w:val="single"/>
          <w:lang w:val="en-GB"/>
        </w:rPr>
        <w:t xml:space="preserve">Raul E. </w:t>
      </w:r>
      <w:r w:rsidR="005C60A9">
        <w:rPr>
          <w:b/>
          <w:bCs/>
          <w:u w:val="single"/>
          <w:lang w:val="en-GB"/>
        </w:rPr>
        <w:t>Guzmán</w:t>
      </w:r>
      <w:r w:rsidR="005C60A9" w:rsidRPr="005C60A9">
        <w:rPr>
          <w:b/>
          <w:bCs/>
          <w:u w:val="single"/>
          <w:vertAlign w:val="superscript"/>
          <w:lang w:val="en-GB"/>
        </w:rPr>
        <w:t>2</w:t>
      </w:r>
    </w:p>
    <w:p w14:paraId="79923443" w14:textId="77777777" w:rsidR="001D72EE" w:rsidRPr="001D72EE" w:rsidRDefault="001D72EE" w:rsidP="001D72EE">
      <w:pPr>
        <w:spacing w:after="0"/>
        <w:rPr>
          <w:lang w:val="en-GB"/>
        </w:rPr>
      </w:pPr>
      <w:r w:rsidRPr="001D72EE">
        <w:rPr>
          <w:vertAlign w:val="superscript"/>
          <w:lang w:val="en-GB"/>
        </w:rPr>
        <w:t>1</w:t>
      </w:r>
      <w:r w:rsidRPr="001D72EE">
        <w:rPr>
          <w:lang w:val="en-GB"/>
        </w:rPr>
        <w:t xml:space="preserve"> Institute of Neuroscience and Medicine, INM-10, </w:t>
      </w:r>
      <w:proofErr w:type="spellStart"/>
      <w:r w:rsidRPr="001D72EE">
        <w:rPr>
          <w:lang w:val="en-GB"/>
        </w:rPr>
        <w:t>Forschungszentrum</w:t>
      </w:r>
      <w:proofErr w:type="spellEnd"/>
      <w:r w:rsidRPr="001D72EE">
        <w:rPr>
          <w:lang w:val="en-GB"/>
        </w:rPr>
        <w:t xml:space="preserve"> Jülich GmbH, 52425 Jülich, Germany</w:t>
      </w:r>
    </w:p>
    <w:p w14:paraId="78EBD823" w14:textId="77777777" w:rsidR="001D72EE" w:rsidRDefault="001D72EE" w:rsidP="001D72EE">
      <w:pPr>
        <w:spacing w:after="0"/>
        <w:rPr>
          <w:lang w:val="en-GB"/>
        </w:rPr>
      </w:pPr>
      <w:r w:rsidRPr="001D72EE">
        <w:rPr>
          <w:vertAlign w:val="superscript"/>
          <w:lang w:val="en-GB"/>
        </w:rPr>
        <w:t>2</w:t>
      </w:r>
      <w:r w:rsidRPr="001D72EE">
        <w:rPr>
          <w:lang w:val="en-GB"/>
        </w:rPr>
        <w:t xml:space="preserve"> Institute of Biological Information Processing, IBI-1, </w:t>
      </w:r>
      <w:proofErr w:type="spellStart"/>
      <w:r w:rsidRPr="001D72EE">
        <w:rPr>
          <w:lang w:val="en-GB"/>
        </w:rPr>
        <w:t>Forschungszentrum</w:t>
      </w:r>
      <w:proofErr w:type="spellEnd"/>
      <w:r w:rsidRPr="001D72EE">
        <w:rPr>
          <w:lang w:val="en-GB"/>
        </w:rPr>
        <w:t xml:space="preserve"> Jülich GmbH, 52425 Jülich, Germany</w:t>
      </w:r>
    </w:p>
    <w:p w14:paraId="744C0ADD" w14:textId="77777777" w:rsidR="001D72EE" w:rsidRPr="001D72EE" w:rsidRDefault="001D72EE" w:rsidP="001D72EE">
      <w:pPr>
        <w:spacing w:after="0"/>
        <w:rPr>
          <w:lang w:val="en-GB"/>
        </w:rPr>
      </w:pPr>
    </w:p>
    <w:p w14:paraId="2B847F9A" w14:textId="544FF103" w:rsidR="007B508A" w:rsidRDefault="001D72EE" w:rsidP="001D72EE">
      <w:pPr>
        <w:spacing w:after="0"/>
        <w:rPr>
          <w:lang w:val="en-GB"/>
        </w:rPr>
      </w:pPr>
      <w:r w:rsidRPr="001D72EE">
        <w:rPr>
          <w:lang w:val="en-GB"/>
        </w:rPr>
        <w:t xml:space="preserve">Correspondence to: </w:t>
      </w:r>
      <w:hyperlink r:id="rId6" w:history="1">
        <w:r w:rsidR="007B508A" w:rsidRPr="0016200D">
          <w:rPr>
            <w:rStyle w:val="Hyperlink"/>
            <w:lang w:val="en-GB"/>
          </w:rPr>
          <w:t>r.guzman@fz-juelich.de</w:t>
        </w:r>
      </w:hyperlink>
    </w:p>
    <w:p w14:paraId="0904B6A1" w14:textId="77777777" w:rsidR="007B508A" w:rsidRDefault="007B508A" w:rsidP="001D72EE">
      <w:pPr>
        <w:spacing w:after="0"/>
        <w:rPr>
          <w:lang w:val="en-GB"/>
        </w:rPr>
      </w:pPr>
    </w:p>
    <w:p w14:paraId="2EFD5A04" w14:textId="77777777" w:rsidR="007B508A" w:rsidRDefault="007B508A" w:rsidP="001D72EE">
      <w:pPr>
        <w:spacing w:after="0"/>
        <w:rPr>
          <w:lang w:val="en-GB"/>
        </w:rPr>
      </w:pPr>
    </w:p>
    <w:p w14:paraId="71565856" w14:textId="4363554A" w:rsidR="00823644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6044C893" w14:textId="32391F57" w:rsidR="007B508A" w:rsidRDefault="007B508A" w:rsidP="00521A05">
      <w:pPr>
        <w:jc w:val="both"/>
        <w:rPr>
          <w:b/>
          <w:bCs/>
          <w:u w:val="single"/>
          <w:lang w:val="en-GB"/>
        </w:rPr>
      </w:pPr>
      <w:r w:rsidRPr="00936997">
        <w:rPr>
          <w:i/>
        </w:rPr>
        <w:t>CLCN3</w:t>
      </w:r>
      <w:r w:rsidRPr="00936997">
        <w:t xml:space="preserve"> and </w:t>
      </w:r>
      <w:r w:rsidRPr="00936997">
        <w:rPr>
          <w:i/>
        </w:rPr>
        <w:t>CLCN4</w:t>
      </w:r>
      <w:r>
        <w:t xml:space="preserve"> </w:t>
      </w:r>
      <w:r w:rsidRPr="00936997">
        <w:t>encode the endosomal 2Cl</w:t>
      </w:r>
      <w:r w:rsidRPr="00936997">
        <w:rPr>
          <w:vertAlign w:val="superscript"/>
        </w:rPr>
        <w:t>-</w:t>
      </w:r>
      <w:r w:rsidRPr="00936997">
        <w:t>/H</w:t>
      </w:r>
      <w:r w:rsidRPr="00936997">
        <w:rPr>
          <w:vertAlign w:val="superscript"/>
        </w:rPr>
        <w:t>+</w:t>
      </w:r>
      <w:r w:rsidRPr="00936997">
        <w:t xml:space="preserve"> exchangers ClC-3 and ClC-4, which are highly expressed within the </w:t>
      </w:r>
      <w:r w:rsidR="002844AC">
        <w:t>CNS</w:t>
      </w:r>
      <w:r w:rsidRPr="00936997">
        <w:t xml:space="preserve">, including hippocampal formation. Pathogenic variants in these genes give rise to the </w:t>
      </w:r>
      <w:r>
        <w:t xml:space="preserve">rare </w:t>
      </w:r>
      <w:r w:rsidRPr="00936997">
        <w:rPr>
          <w:i/>
        </w:rPr>
        <w:t>CLCN3</w:t>
      </w:r>
      <w:r w:rsidRPr="00936997">
        <w:t xml:space="preserve">- and </w:t>
      </w:r>
      <w:r w:rsidRPr="00936997">
        <w:rPr>
          <w:i/>
        </w:rPr>
        <w:t>CLCN4</w:t>
      </w:r>
      <w:r w:rsidRPr="00936997">
        <w:t>-neurodevelopmental conditions</w:t>
      </w:r>
      <w:r w:rsidR="00A07B1F">
        <w:t xml:space="preserve"> (</w:t>
      </w:r>
      <w:r w:rsidR="00A07B1F" w:rsidRPr="00A07B1F">
        <w:rPr>
          <w:i/>
          <w:iCs/>
        </w:rPr>
        <w:t>CLCN3/4-NDCs</w:t>
      </w:r>
      <w:r w:rsidR="00A07B1F">
        <w:t>)</w:t>
      </w:r>
      <w:r w:rsidRPr="00936997">
        <w:t xml:space="preserve">, </w:t>
      </w:r>
      <w:r>
        <w:t>characterised</w:t>
      </w:r>
      <w:r w:rsidRPr="00936997">
        <w:t xml:space="preserve"> by a range of neurological and neuropsychiatric complications, </w:t>
      </w:r>
      <w:r w:rsidR="002844AC">
        <w:t xml:space="preserve">including </w:t>
      </w:r>
      <w:r w:rsidRPr="00936997">
        <w:t xml:space="preserve">global developmental delay, intellectual disability, seizures, </w:t>
      </w:r>
      <w:r>
        <w:t>behavioural</w:t>
      </w:r>
      <w:r w:rsidRPr="00936997">
        <w:t xml:space="preserve"> issues, and brain abnormalities</w:t>
      </w:r>
      <w:r w:rsidR="00521A05">
        <w:t xml:space="preserve">. </w:t>
      </w:r>
      <w:r w:rsidR="00521A05" w:rsidRPr="00936997">
        <w:t>The mechanism</w:t>
      </w:r>
      <w:r w:rsidR="00521A05">
        <w:t>s</w:t>
      </w:r>
      <w:r w:rsidR="00521A05" w:rsidRPr="00936997">
        <w:t xml:space="preserve"> by which ClC-3 and ClC-4 regulate neuronal function and viability, as well as the molecular pathway</w:t>
      </w:r>
      <w:r w:rsidR="00521A05">
        <w:t>s</w:t>
      </w:r>
      <w:r w:rsidR="00521A05" w:rsidRPr="00936997">
        <w:t xml:space="preserve"> affected in </w:t>
      </w:r>
      <w:r w:rsidR="00521A05" w:rsidRPr="00936997">
        <w:rPr>
          <w:i/>
        </w:rPr>
        <w:t>CLCN3</w:t>
      </w:r>
      <w:r w:rsidR="00521A05" w:rsidRPr="00936997">
        <w:t xml:space="preserve">- and </w:t>
      </w:r>
      <w:r w:rsidR="00521A05" w:rsidRPr="00936997">
        <w:rPr>
          <w:i/>
        </w:rPr>
        <w:t>CLCN4</w:t>
      </w:r>
      <w:r w:rsidR="00521A05" w:rsidRPr="00936997">
        <w:t>-</w:t>
      </w:r>
      <w:r w:rsidR="00A07B1F" w:rsidRPr="00A07B1F">
        <w:rPr>
          <w:i/>
          <w:iCs/>
        </w:rPr>
        <w:t>NDCs</w:t>
      </w:r>
      <w:r w:rsidR="00521A05" w:rsidRPr="00936997">
        <w:t>, remain unknown</w:t>
      </w:r>
      <w:r w:rsidR="00521A05">
        <w:t xml:space="preserve">. Here, we </w:t>
      </w:r>
      <w:r w:rsidR="00521A05" w:rsidRPr="00521A05">
        <w:t xml:space="preserve">investigate how </w:t>
      </w:r>
      <w:r w:rsidR="00922158">
        <w:t>deficits in ClC-3 or ClC-4 alter</w:t>
      </w:r>
      <w:r w:rsidR="00521A05" w:rsidRPr="00521A05">
        <w:t xml:space="preserve"> neuronal excitability and morphology</w:t>
      </w:r>
      <w:r w:rsidR="00521A05">
        <w:t xml:space="preserve"> in hippocampal neurons.</w:t>
      </w:r>
    </w:p>
    <w:p w14:paraId="29145C13" w14:textId="44342DF3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4E85E50B" w14:textId="22BABA6F" w:rsidR="00DA4670" w:rsidRDefault="00155827" w:rsidP="00DA4670">
      <w:pPr>
        <w:jc w:val="both"/>
      </w:pPr>
      <w:r w:rsidRPr="00155827">
        <w:rPr>
          <w:rFonts w:cs="Times New Roman"/>
          <w:color w:val="0D0D0D"/>
          <w:lang w:eastAsia="de-DE"/>
        </w:rPr>
        <w:t>We combined patch-clamp</w:t>
      </w:r>
      <w:r w:rsidR="00DA4670">
        <w:rPr>
          <w:rFonts w:cs="Times New Roman"/>
          <w:color w:val="0D0D0D"/>
          <w:lang w:eastAsia="de-DE"/>
        </w:rPr>
        <w:t xml:space="preserve"> electrophysiolog</w:t>
      </w:r>
      <w:r w:rsidR="002844AC">
        <w:rPr>
          <w:rFonts w:cs="Times New Roman"/>
          <w:color w:val="0D0D0D"/>
          <w:lang w:eastAsia="de-DE"/>
        </w:rPr>
        <w:t>y</w:t>
      </w:r>
      <w:r w:rsidRPr="00155827">
        <w:rPr>
          <w:rFonts w:cs="Times New Roman"/>
          <w:color w:val="0D0D0D"/>
          <w:lang w:eastAsia="de-DE"/>
        </w:rPr>
        <w:t xml:space="preserve"> </w:t>
      </w:r>
      <w:r w:rsidR="00DA4670" w:rsidRPr="00155827">
        <w:rPr>
          <w:rFonts w:cs="Times New Roman"/>
          <w:color w:val="0D0D0D"/>
          <w:lang w:eastAsia="de-DE"/>
        </w:rPr>
        <w:t>with simultaneous intracellular biocytin filling</w:t>
      </w:r>
      <w:r w:rsidR="00DA4670">
        <w:rPr>
          <w:rFonts w:cs="Times New Roman"/>
          <w:color w:val="0D0D0D"/>
          <w:lang w:eastAsia="de-DE"/>
        </w:rPr>
        <w:t xml:space="preserve"> </w:t>
      </w:r>
      <w:r w:rsidRPr="00155827">
        <w:rPr>
          <w:rFonts w:cs="Times New Roman"/>
          <w:color w:val="0D0D0D"/>
          <w:lang w:eastAsia="de-DE"/>
        </w:rPr>
        <w:t>in acute hippocampal slice preparations</w:t>
      </w:r>
      <w:r w:rsidR="00DA4670">
        <w:rPr>
          <w:rFonts w:cs="Times New Roman"/>
          <w:color w:val="0D0D0D"/>
          <w:lang w:eastAsia="de-DE"/>
        </w:rPr>
        <w:t xml:space="preserve"> from </w:t>
      </w:r>
      <w:r w:rsidR="00DA4670" w:rsidRPr="00155827">
        <w:rPr>
          <w:rFonts w:cs="Times New Roman"/>
          <w:i/>
          <w:iCs/>
        </w:rPr>
        <w:t>Clcn3</w:t>
      </w:r>
      <w:r w:rsidR="00DA4670" w:rsidRPr="00155827">
        <w:rPr>
          <w:rFonts w:cs="Times New Roman"/>
          <w:i/>
          <w:iCs/>
          <w:vertAlign w:val="superscript"/>
        </w:rPr>
        <w:t>-/-</w:t>
      </w:r>
      <w:r w:rsidR="00DA4670" w:rsidRPr="00155827">
        <w:rPr>
          <w:rFonts w:cs="Times New Roman"/>
          <w:vertAlign w:val="superscript"/>
        </w:rPr>
        <w:t xml:space="preserve"> </w:t>
      </w:r>
      <w:r w:rsidR="00DA4670">
        <w:rPr>
          <w:rFonts w:cs="Times New Roman"/>
        </w:rPr>
        <w:t xml:space="preserve">and </w:t>
      </w:r>
      <w:r w:rsidR="00DA4670" w:rsidRPr="00155827">
        <w:rPr>
          <w:rFonts w:cs="Times New Roman"/>
          <w:i/>
          <w:iCs/>
        </w:rPr>
        <w:t>Clcn4</w:t>
      </w:r>
      <w:r w:rsidR="00DA4670" w:rsidRPr="00155827">
        <w:rPr>
          <w:rFonts w:cs="Times New Roman"/>
          <w:i/>
          <w:iCs/>
          <w:vertAlign w:val="superscript"/>
        </w:rPr>
        <w:t>-/-</w:t>
      </w:r>
      <w:r w:rsidR="00DA4670">
        <w:rPr>
          <w:rFonts w:cs="Times New Roman"/>
        </w:rPr>
        <w:t xml:space="preserve"> mouse models</w:t>
      </w:r>
      <w:r w:rsidRPr="00155827">
        <w:rPr>
          <w:rFonts w:cs="Times New Roman"/>
          <w:color w:val="0D0D0D"/>
          <w:lang w:eastAsia="de-DE"/>
        </w:rPr>
        <w:t xml:space="preserve">. </w:t>
      </w:r>
      <w:r w:rsidRPr="00155827">
        <w:rPr>
          <w:rFonts w:cs="Times New Roman"/>
        </w:rPr>
        <w:t xml:space="preserve">We </w:t>
      </w:r>
      <w:r w:rsidR="00DA4670">
        <w:rPr>
          <w:rFonts w:cs="Times New Roman"/>
        </w:rPr>
        <w:t>characterised</w:t>
      </w:r>
      <w:r>
        <w:rPr>
          <w:rFonts w:cs="Times New Roman"/>
        </w:rPr>
        <w:t xml:space="preserve"> the passive and active membrane properties of CA2 neurons</w:t>
      </w:r>
      <w:r w:rsidR="00DA4670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DA4670" w:rsidRPr="00DA4670">
        <w:rPr>
          <w:rFonts w:cs="Times New Roman"/>
        </w:rPr>
        <w:t>followed by detailed 3D morphological reconstructions using Neurolucida software.</w:t>
      </w:r>
      <w:r w:rsidR="00562188" w:rsidRPr="00155827">
        <w:t xml:space="preserve"> </w:t>
      </w:r>
    </w:p>
    <w:p w14:paraId="72B508C1" w14:textId="54515064" w:rsidR="00736922" w:rsidRDefault="00736922" w:rsidP="00DA4670">
      <w:pPr>
        <w:jc w:val="both"/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0536E213" w14:textId="45C2C115" w:rsidR="0018585C" w:rsidRDefault="00562188" w:rsidP="0018585C">
      <w:pPr>
        <w:jc w:val="both"/>
        <w:rPr>
          <w:lang w:val="en-GB"/>
        </w:rPr>
      </w:pPr>
      <w:r w:rsidRPr="00562188">
        <w:rPr>
          <w:lang w:val="en-GB"/>
        </w:rPr>
        <w:t xml:space="preserve">Two firing patterns </w:t>
      </w:r>
      <w:r w:rsidR="00A07B1F">
        <w:rPr>
          <w:lang w:val="en-GB"/>
        </w:rPr>
        <w:t>were</w:t>
      </w:r>
      <w:r w:rsidRPr="00562188">
        <w:rPr>
          <w:lang w:val="en-GB"/>
        </w:rPr>
        <w:t xml:space="preserve"> found in the hippocampus's Cornu </w:t>
      </w:r>
      <w:proofErr w:type="spellStart"/>
      <w:r w:rsidRPr="00562188">
        <w:rPr>
          <w:lang w:val="en-GB"/>
        </w:rPr>
        <w:t>Ammonis</w:t>
      </w:r>
      <w:proofErr w:type="spellEnd"/>
      <w:r w:rsidRPr="00562188">
        <w:rPr>
          <w:lang w:val="en-GB"/>
        </w:rPr>
        <w:t xml:space="preserve"> 2 (CA2) region: regular and burst firing.  At post-natal day 13, 62% of the assessed CA2 wild-type neurons showed a rhythmic bursting behaviour; this was reduced to 19% in </w:t>
      </w:r>
      <w:r w:rsidRPr="00850401">
        <w:rPr>
          <w:i/>
          <w:iCs/>
          <w:lang w:val="en-GB"/>
        </w:rPr>
        <w:t>Clcn4</w:t>
      </w:r>
      <w:r w:rsidRPr="00850401">
        <w:rPr>
          <w:i/>
          <w:iCs/>
          <w:vertAlign w:val="superscript"/>
          <w:lang w:val="en-GB"/>
        </w:rPr>
        <w:t>-/-</w:t>
      </w:r>
      <w:r w:rsidRPr="00562188">
        <w:rPr>
          <w:lang w:val="en-GB"/>
        </w:rPr>
        <w:t xml:space="preserve"> and </w:t>
      </w:r>
      <w:r w:rsidRPr="00562188">
        <w:rPr>
          <w:lang w:val="en-GB"/>
        </w:rPr>
        <w:lastRenderedPageBreak/>
        <w:t xml:space="preserve">completely absent in the </w:t>
      </w:r>
      <w:r w:rsidRPr="00850401">
        <w:rPr>
          <w:i/>
          <w:iCs/>
          <w:lang w:val="en-GB"/>
        </w:rPr>
        <w:t>Clcn3</w:t>
      </w:r>
      <w:r w:rsidRPr="00850401">
        <w:rPr>
          <w:i/>
          <w:iCs/>
          <w:vertAlign w:val="superscript"/>
          <w:lang w:val="en-GB"/>
        </w:rPr>
        <w:t>-/-</w:t>
      </w:r>
      <w:r w:rsidRPr="00562188">
        <w:rPr>
          <w:lang w:val="en-GB"/>
        </w:rPr>
        <w:t xml:space="preserve"> condition. Changes in the firing patterns were accompanied by a depolarising shift in the action potential threshold and an increase in the </w:t>
      </w:r>
      <w:proofErr w:type="spellStart"/>
      <w:r w:rsidRPr="00562188">
        <w:rPr>
          <w:lang w:val="en-GB"/>
        </w:rPr>
        <w:t>afterhyperpolarizing</w:t>
      </w:r>
      <w:proofErr w:type="spellEnd"/>
      <w:r w:rsidRPr="00562188">
        <w:rPr>
          <w:lang w:val="en-GB"/>
        </w:rPr>
        <w:t xml:space="preserve"> phase of the action potentials. Blockade of Kv7/KCNQ</w:t>
      </w:r>
      <w:r w:rsidR="002844AC">
        <w:rPr>
          <w:lang w:val="en-GB"/>
        </w:rPr>
        <w:t xml:space="preserve"> and, to a lesser extent, Kv1, but not BK, SK,</w:t>
      </w:r>
      <w:r w:rsidRPr="00562188">
        <w:rPr>
          <w:lang w:val="en-GB"/>
        </w:rPr>
        <w:t xml:space="preserve"> or Kv2 channels, recapitulates the wild-type firing pattern phenotype in the </w:t>
      </w:r>
      <w:r w:rsidRPr="00850401">
        <w:rPr>
          <w:i/>
          <w:iCs/>
          <w:lang w:val="en-GB"/>
        </w:rPr>
        <w:t>Clcn3</w:t>
      </w:r>
      <w:r w:rsidRPr="00850401">
        <w:rPr>
          <w:i/>
          <w:iCs/>
          <w:vertAlign w:val="superscript"/>
          <w:lang w:val="en-GB"/>
        </w:rPr>
        <w:t>-/-</w:t>
      </w:r>
      <w:r w:rsidR="00A07B1F">
        <w:rPr>
          <w:i/>
          <w:iCs/>
          <w:vertAlign w:val="superscript"/>
          <w:lang w:val="en-GB"/>
        </w:rPr>
        <w:t xml:space="preserve"> </w:t>
      </w:r>
      <w:r w:rsidR="00A07B1F">
        <w:rPr>
          <w:lang w:val="en-GB"/>
        </w:rPr>
        <w:t>neurons</w:t>
      </w:r>
      <w:r w:rsidRPr="00562188">
        <w:rPr>
          <w:lang w:val="en-GB"/>
        </w:rPr>
        <w:t xml:space="preserve">. </w:t>
      </w:r>
      <w:r w:rsidR="00850401" w:rsidRPr="00850401">
        <w:rPr>
          <w:lang w:val="en-GB"/>
        </w:rPr>
        <w:t xml:space="preserve">Consistent with an increase in the Kv7/KCNQ density, total KCNQ-mediated deactivating currents </w:t>
      </w:r>
      <w:r w:rsidR="0018585C" w:rsidRPr="00850401">
        <w:rPr>
          <w:lang w:val="en-GB"/>
        </w:rPr>
        <w:t xml:space="preserve">were larger </w:t>
      </w:r>
      <w:r w:rsidR="00850401" w:rsidRPr="00850401">
        <w:rPr>
          <w:lang w:val="en-GB"/>
        </w:rPr>
        <w:t>in</w:t>
      </w:r>
      <w:r w:rsidR="00850401" w:rsidRPr="00DA4670">
        <w:rPr>
          <w:i/>
          <w:iCs/>
          <w:lang w:val="en-GB"/>
        </w:rPr>
        <w:t xml:space="preserve"> Clcn3</w:t>
      </w:r>
      <w:r w:rsidR="00850401" w:rsidRPr="00DA4670">
        <w:rPr>
          <w:i/>
          <w:iCs/>
          <w:vertAlign w:val="superscript"/>
          <w:lang w:val="en-GB"/>
        </w:rPr>
        <w:t>-/-</w:t>
      </w:r>
      <w:r w:rsidR="00850401" w:rsidRPr="00850401">
        <w:rPr>
          <w:lang w:val="en-GB"/>
        </w:rPr>
        <w:t xml:space="preserve"> CA2 than in the WT CA2</w:t>
      </w:r>
      <w:r w:rsidR="002844AC">
        <w:rPr>
          <w:lang w:val="en-GB"/>
        </w:rPr>
        <w:t xml:space="preserve"> neurons</w:t>
      </w:r>
      <w:r w:rsidR="00850401" w:rsidRPr="00850401">
        <w:rPr>
          <w:lang w:val="en-GB"/>
        </w:rPr>
        <w:t xml:space="preserve">. </w:t>
      </w:r>
      <w:r w:rsidR="002844AC">
        <w:rPr>
          <w:lang w:val="en-GB"/>
        </w:rPr>
        <w:t>A</w:t>
      </w:r>
      <w:r w:rsidR="00850401" w:rsidRPr="00850401">
        <w:rPr>
          <w:lang w:val="en-GB"/>
        </w:rPr>
        <w:t xml:space="preserve">pplication of 1 mM TEA, a concentration that preferentially blocks KCNQ2 channels over KCNQ3 or KCNQ2/3 </w:t>
      </w:r>
      <w:proofErr w:type="spellStart"/>
      <w:r w:rsidR="00850401" w:rsidRPr="00850401">
        <w:rPr>
          <w:lang w:val="en-GB"/>
        </w:rPr>
        <w:t>heterotetramers</w:t>
      </w:r>
      <w:proofErr w:type="spellEnd"/>
      <w:r w:rsidR="00850401" w:rsidRPr="00850401">
        <w:rPr>
          <w:lang w:val="en-GB"/>
        </w:rPr>
        <w:t xml:space="preserve">, resulted in a greater block in </w:t>
      </w:r>
      <w:r w:rsidR="00850401" w:rsidRPr="0018585C">
        <w:rPr>
          <w:i/>
          <w:iCs/>
          <w:lang w:val="en-GB"/>
        </w:rPr>
        <w:t>Clcn3</w:t>
      </w:r>
      <w:r w:rsidR="00850401" w:rsidRPr="0018585C">
        <w:rPr>
          <w:i/>
          <w:iCs/>
          <w:vertAlign w:val="superscript"/>
          <w:lang w:val="en-GB"/>
        </w:rPr>
        <w:t>-/-</w:t>
      </w:r>
      <w:r w:rsidR="00850401" w:rsidRPr="00850401">
        <w:rPr>
          <w:lang w:val="en-GB"/>
        </w:rPr>
        <w:t xml:space="preserve"> CA2 neurons, indicating an increased contribution of KCNQ2 channels to the total deactivating current</w:t>
      </w:r>
      <w:r w:rsidR="00AC021A">
        <w:rPr>
          <w:lang w:val="en-GB"/>
        </w:rPr>
        <w:t>s</w:t>
      </w:r>
      <w:r w:rsidR="00850401" w:rsidRPr="00850401">
        <w:rPr>
          <w:lang w:val="en-GB"/>
        </w:rPr>
        <w:t xml:space="preserve">. </w:t>
      </w:r>
      <w:r w:rsidRPr="00562188">
        <w:rPr>
          <w:lang w:val="en-GB"/>
        </w:rPr>
        <w:t xml:space="preserve">Moreover, we detected abnormalities in </w:t>
      </w:r>
      <w:r w:rsidR="00AC021A">
        <w:rPr>
          <w:lang w:val="en-GB"/>
        </w:rPr>
        <w:t xml:space="preserve">the neuronal </w:t>
      </w:r>
      <w:r w:rsidRPr="00562188">
        <w:rPr>
          <w:lang w:val="en-GB"/>
        </w:rPr>
        <w:t xml:space="preserve">complexity. Branching and lengths of apical and basal domains were significantly reduced in the </w:t>
      </w:r>
      <w:r w:rsidRPr="00850401">
        <w:rPr>
          <w:i/>
          <w:iCs/>
          <w:lang w:val="en-GB"/>
        </w:rPr>
        <w:t>Clcn3</w:t>
      </w:r>
      <w:r w:rsidRPr="00850401">
        <w:rPr>
          <w:i/>
          <w:iCs/>
          <w:vertAlign w:val="superscript"/>
          <w:lang w:val="en-GB"/>
        </w:rPr>
        <w:t>-/-</w:t>
      </w:r>
      <w:r w:rsidRPr="00562188">
        <w:rPr>
          <w:lang w:val="en-GB"/>
        </w:rPr>
        <w:t xml:space="preserve"> and moderately altered in the </w:t>
      </w:r>
      <w:r w:rsidRPr="00850401">
        <w:rPr>
          <w:i/>
          <w:iCs/>
          <w:lang w:val="en-GB"/>
        </w:rPr>
        <w:t>Clcn4</w:t>
      </w:r>
      <w:r w:rsidRPr="00850401">
        <w:rPr>
          <w:i/>
          <w:iCs/>
          <w:vertAlign w:val="superscript"/>
          <w:lang w:val="en-GB"/>
        </w:rPr>
        <w:t>-/-</w:t>
      </w:r>
      <w:r w:rsidRPr="00562188">
        <w:rPr>
          <w:lang w:val="en-GB"/>
        </w:rPr>
        <w:t xml:space="preserve"> neurons.</w:t>
      </w:r>
      <w:r>
        <w:rPr>
          <w:lang w:val="en-GB"/>
        </w:rPr>
        <w:t xml:space="preserve"> </w:t>
      </w:r>
    </w:p>
    <w:p w14:paraId="77A05E3F" w14:textId="77777777" w:rsidR="0018585C" w:rsidRDefault="0018585C" w:rsidP="0018585C">
      <w:pPr>
        <w:jc w:val="both"/>
        <w:rPr>
          <w:lang w:val="en-GB"/>
        </w:rPr>
      </w:pPr>
    </w:p>
    <w:p w14:paraId="2725ED62" w14:textId="258B9A04" w:rsidR="00736922" w:rsidRDefault="00736922" w:rsidP="0018585C">
      <w:pPr>
        <w:jc w:val="both"/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114FFCB4" w14:textId="04DC4184" w:rsidR="00562188" w:rsidRPr="00562188" w:rsidRDefault="00562188" w:rsidP="00850401">
      <w:pPr>
        <w:jc w:val="both"/>
        <w:rPr>
          <w:lang w:val="en-GB"/>
        </w:rPr>
      </w:pPr>
      <w:r w:rsidRPr="00562188">
        <w:rPr>
          <w:lang w:val="en-GB"/>
        </w:rPr>
        <w:t xml:space="preserve">Our study establishes </w:t>
      </w:r>
      <w:r w:rsidR="002844AC">
        <w:rPr>
          <w:lang w:val="en-GB"/>
        </w:rPr>
        <w:t>that 2Cl</w:t>
      </w:r>
      <w:r w:rsidR="002844AC" w:rsidRPr="002844AC">
        <w:rPr>
          <w:vertAlign w:val="superscript"/>
          <w:lang w:val="en-GB"/>
        </w:rPr>
        <w:t>−</w:t>
      </w:r>
      <w:r w:rsidR="002844AC">
        <w:rPr>
          <w:lang w:val="en-GB"/>
        </w:rPr>
        <w:t>/H</w:t>
      </w:r>
      <w:r w:rsidR="002844AC" w:rsidRPr="002844AC">
        <w:rPr>
          <w:vertAlign w:val="superscript"/>
          <w:lang w:val="en-GB"/>
        </w:rPr>
        <w:t>+</w:t>
      </w:r>
      <w:r w:rsidR="002844AC">
        <w:rPr>
          <w:lang w:val="en-GB"/>
        </w:rPr>
        <w:t xml:space="preserve"> exchangers are critical regulators of neuronal intrinsic excitability, acting by precisely modulating</w:t>
      </w:r>
      <w:r w:rsidRPr="00562188">
        <w:rPr>
          <w:lang w:val="en-GB"/>
        </w:rPr>
        <w:t xml:space="preserve"> Kv7/KCNQ channel density. We further show that disruption of this exchange function contributes to significant changes in dendritic structure. Our findings provide new insights into the underlying molecular mechanisms of </w:t>
      </w:r>
      <w:r w:rsidR="00BD483B">
        <w:rPr>
          <w:lang w:val="en-GB"/>
        </w:rPr>
        <w:t>2</w:t>
      </w:r>
      <w:r w:rsidRPr="00562188">
        <w:rPr>
          <w:lang w:val="en-GB"/>
        </w:rPr>
        <w:t>Cl</w:t>
      </w:r>
      <w:r w:rsidRPr="00850401">
        <w:rPr>
          <w:vertAlign w:val="superscript"/>
          <w:lang w:val="en-GB"/>
        </w:rPr>
        <w:t>-</w:t>
      </w:r>
      <w:r w:rsidRPr="00562188">
        <w:rPr>
          <w:lang w:val="en-GB"/>
        </w:rPr>
        <w:t>/H</w:t>
      </w:r>
      <w:r w:rsidRPr="00850401">
        <w:rPr>
          <w:vertAlign w:val="superscript"/>
          <w:lang w:val="en-GB"/>
        </w:rPr>
        <w:t>+</w:t>
      </w:r>
      <w:r w:rsidRPr="00562188">
        <w:rPr>
          <w:lang w:val="en-GB"/>
        </w:rPr>
        <w:t xml:space="preserve"> exchangers in neurons and </w:t>
      </w:r>
      <w:r w:rsidR="00850401" w:rsidRPr="00850401">
        <w:rPr>
          <w:lang w:val="en-GB"/>
        </w:rPr>
        <w:t xml:space="preserve">identify </w:t>
      </w:r>
      <w:r w:rsidR="002844AC">
        <w:rPr>
          <w:lang w:val="en-GB"/>
        </w:rPr>
        <w:t>Kv7/KCNQ channels as a potential therapeutic target</w:t>
      </w:r>
      <w:r w:rsidR="00850401" w:rsidRPr="00850401">
        <w:rPr>
          <w:lang w:val="en-GB"/>
        </w:rPr>
        <w:t xml:space="preserve"> for patients with </w:t>
      </w:r>
      <w:r w:rsidR="00850401" w:rsidRPr="00850401">
        <w:rPr>
          <w:i/>
          <w:iCs/>
          <w:lang w:val="en-GB"/>
        </w:rPr>
        <w:t>CLCN3</w:t>
      </w:r>
      <w:r w:rsidR="00850401" w:rsidRPr="00850401">
        <w:rPr>
          <w:lang w:val="en-GB"/>
        </w:rPr>
        <w:t xml:space="preserve">- and </w:t>
      </w:r>
      <w:r w:rsidR="00850401" w:rsidRPr="00850401">
        <w:rPr>
          <w:i/>
          <w:iCs/>
          <w:lang w:val="en-GB"/>
        </w:rPr>
        <w:t>CLCN4</w:t>
      </w:r>
      <w:r w:rsidR="00850401" w:rsidRPr="00850401">
        <w:rPr>
          <w:lang w:val="en-GB"/>
        </w:rPr>
        <w:t>-related neurodevelopmental disorders.</w:t>
      </w:r>
    </w:p>
    <w:p w14:paraId="77BE2BF3" w14:textId="77777777" w:rsidR="00736922" w:rsidRDefault="00736922" w:rsidP="00823644">
      <w:pPr>
        <w:rPr>
          <w:u w:val="single"/>
          <w:lang w:val="en-GB"/>
        </w:rPr>
      </w:pPr>
    </w:p>
    <w:sectPr w:rsidR="0073692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0D37" w14:textId="77777777" w:rsidR="000405A1" w:rsidRDefault="000405A1" w:rsidP="003D1FF6">
      <w:pPr>
        <w:spacing w:after="0" w:line="240" w:lineRule="auto"/>
      </w:pPr>
      <w:r>
        <w:separator/>
      </w:r>
    </w:p>
  </w:endnote>
  <w:endnote w:type="continuationSeparator" w:id="0">
    <w:p w14:paraId="64085A88" w14:textId="77777777" w:rsidR="000405A1" w:rsidRDefault="000405A1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0123" w14:textId="77777777" w:rsidR="000405A1" w:rsidRDefault="000405A1" w:rsidP="003D1FF6">
      <w:pPr>
        <w:spacing w:after="0" w:line="240" w:lineRule="auto"/>
      </w:pPr>
      <w:r>
        <w:separator/>
      </w:r>
    </w:p>
  </w:footnote>
  <w:footnote w:type="continuationSeparator" w:id="0">
    <w:p w14:paraId="4DF6CAF1" w14:textId="77777777" w:rsidR="000405A1" w:rsidRDefault="000405A1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C12B" w14:textId="3C31B133" w:rsidR="003D1FF6" w:rsidRPr="003D1FF6" w:rsidRDefault="003D1FF6" w:rsidP="003D1FF6">
    <w:pPr>
      <w:pStyle w:val="Header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1553173692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033509"/>
    <w:rsid w:val="000405A1"/>
    <w:rsid w:val="00144769"/>
    <w:rsid w:val="001471EF"/>
    <w:rsid w:val="00155827"/>
    <w:rsid w:val="0018585C"/>
    <w:rsid w:val="001D72EE"/>
    <w:rsid w:val="00241D7C"/>
    <w:rsid w:val="002844AC"/>
    <w:rsid w:val="003D1FF6"/>
    <w:rsid w:val="00521A05"/>
    <w:rsid w:val="00562188"/>
    <w:rsid w:val="005C60A9"/>
    <w:rsid w:val="005E6E54"/>
    <w:rsid w:val="00736922"/>
    <w:rsid w:val="007B508A"/>
    <w:rsid w:val="007C0FAF"/>
    <w:rsid w:val="00807002"/>
    <w:rsid w:val="00823644"/>
    <w:rsid w:val="00850401"/>
    <w:rsid w:val="008729AE"/>
    <w:rsid w:val="00922158"/>
    <w:rsid w:val="00A07B1F"/>
    <w:rsid w:val="00A523B7"/>
    <w:rsid w:val="00AC021A"/>
    <w:rsid w:val="00B85CA5"/>
    <w:rsid w:val="00BA0161"/>
    <w:rsid w:val="00BD483B"/>
    <w:rsid w:val="00C33412"/>
    <w:rsid w:val="00CA63B4"/>
    <w:rsid w:val="00DA4670"/>
    <w:rsid w:val="00DE32EC"/>
    <w:rsid w:val="00E5603A"/>
    <w:rsid w:val="00E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FF6"/>
  </w:style>
  <w:style w:type="paragraph" w:styleId="Footer">
    <w:name w:val="footer"/>
    <w:basedOn w:val="Normal"/>
    <w:link w:val="FooterCha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FF6"/>
  </w:style>
  <w:style w:type="character" w:styleId="Hyperlink">
    <w:name w:val="Hyperlink"/>
    <w:basedOn w:val="DefaultParagraphFont"/>
    <w:uiPriority w:val="99"/>
    <w:unhideWhenUsed/>
    <w:rsid w:val="007B50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08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558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.guzman@fz-juelich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Raul Guzman</cp:lastModifiedBy>
  <cp:revision>2</cp:revision>
  <cp:lastPrinted>2026-04-29T12:30:00Z</cp:lastPrinted>
  <dcterms:created xsi:type="dcterms:W3CDTF">2026-05-03T14:39:00Z</dcterms:created>
  <dcterms:modified xsi:type="dcterms:W3CDTF">2026-05-03T14:39:00Z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  <property fmtid="{D5CDD505-2E9C-101B-9397-08002B2CF9AE}" pid="10" name="GrammarlyDocumentId">
    <vt:lpwstr>0a06a146-3fa8-4911-a6e4-ed01e415cefc</vt:lpwstr>
  </property>
</Properties>
</file>