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0657" w14:textId="77777777" w:rsidR="00736922" w:rsidRDefault="00736922" w:rsidP="00823644">
      <w:pPr>
        <w:rPr>
          <w:b/>
          <w:bCs/>
          <w:lang w:val="en-GB"/>
        </w:rPr>
      </w:pPr>
    </w:p>
    <w:p w14:paraId="1A1197C2" w14:textId="77777777" w:rsidR="0064445C" w:rsidRDefault="0064445C" w:rsidP="0064445C">
      <w:pPr>
        <w:spacing w:line="360" w:lineRule="auto"/>
        <w:jc w:val="center"/>
        <w:rPr>
          <w:b/>
          <w:bCs/>
          <w:lang w:val="en-GB"/>
        </w:rPr>
      </w:pPr>
      <w:r w:rsidRPr="0064445C">
        <w:rPr>
          <w:b/>
          <w:bCs/>
          <w:lang w:val="en-GB"/>
        </w:rPr>
        <w:t>Pharmacological activation of KCNQ4 suppresses peripheral nociceptive signaling in mice</w:t>
      </w:r>
    </w:p>
    <w:p w14:paraId="509013E8" w14:textId="33096B0A" w:rsidR="00C943C8" w:rsidRPr="00C943C8" w:rsidRDefault="00C943C8" w:rsidP="00C943C8">
      <w:pPr>
        <w:spacing w:line="360" w:lineRule="auto"/>
        <w:jc w:val="both"/>
        <w:rPr>
          <w:vertAlign w:val="superscript"/>
          <w:lang w:eastAsia="zh-CN"/>
        </w:rPr>
      </w:pPr>
      <w:r w:rsidRPr="00E14E0F">
        <w:rPr>
          <w:color w:val="0E0E0E"/>
        </w:rPr>
        <w:t xml:space="preserve">Long Wang </w:t>
      </w:r>
      <w:r w:rsidR="009102BF">
        <w:rPr>
          <w:rFonts w:hint="eastAsia"/>
          <w:vertAlign w:val="superscript"/>
          <w:lang w:eastAsia="zh-CN"/>
        </w:rPr>
        <w:t>1</w:t>
      </w:r>
      <w:r w:rsidRPr="00E14E0F">
        <w:rPr>
          <w:vertAlign w:val="superscript"/>
        </w:rPr>
        <w:t xml:space="preserve">, </w:t>
      </w:r>
      <w:r w:rsidR="009102BF">
        <w:rPr>
          <w:rFonts w:hint="eastAsia"/>
          <w:vertAlign w:val="superscript"/>
          <w:lang w:eastAsia="zh-CN"/>
        </w:rPr>
        <w:t>4</w:t>
      </w:r>
      <w:r w:rsidRPr="00E14E0F">
        <w:rPr>
          <w:vertAlign w:val="superscript"/>
        </w:rPr>
        <w:t>,</w:t>
      </w:r>
      <w:r w:rsidRPr="00C943C8">
        <w:rPr>
          <w:lang w:val="en-GB"/>
        </w:rPr>
        <w:t xml:space="preserve"> </w:t>
      </w:r>
      <w:r w:rsidRPr="00736922">
        <w:rPr>
          <w:lang w:val="en-GB"/>
        </w:rPr>
        <w:t xml:space="preserve">(presenting </w:t>
      </w:r>
      <w:r w:rsidR="000C3B9C">
        <w:rPr>
          <w:rFonts w:hint="eastAsia"/>
          <w:lang w:val="en-GB" w:eastAsia="zh-CN"/>
        </w:rPr>
        <w:t>a</w:t>
      </w:r>
      <w:r w:rsidRPr="00736922">
        <w:rPr>
          <w:lang w:val="en-GB"/>
        </w:rPr>
        <w:t>uthor)</w:t>
      </w:r>
      <w:r>
        <w:rPr>
          <w:rFonts w:hint="eastAsia"/>
          <w:lang w:val="en-GB" w:eastAsia="zh-CN"/>
        </w:rPr>
        <w:t>,</w:t>
      </w:r>
      <w:r w:rsidRPr="00E14E0F">
        <w:rPr>
          <w:color w:val="0E0E0E"/>
        </w:rPr>
        <w:t xml:space="preserve"> Man Xu </w:t>
      </w:r>
      <w:r w:rsidR="009102BF">
        <w:rPr>
          <w:rFonts w:hint="eastAsia"/>
          <w:vertAlign w:val="superscript"/>
          <w:lang w:eastAsia="zh-CN"/>
        </w:rPr>
        <w:t>1</w:t>
      </w:r>
      <w:r w:rsidRPr="00E14E0F">
        <w:rPr>
          <w:vertAlign w:val="superscript"/>
        </w:rPr>
        <w:t xml:space="preserve">, </w:t>
      </w:r>
      <w:r w:rsidR="009102BF">
        <w:rPr>
          <w:rFonts w:hint="eastAsia"/>
          <w:vertAlign w:val="superscript"/>
          <w:lang w:eastAsia="zh-CN"/>
        </w:rPr>
        <w:t>2</w:t>
      </w:r>
      <w:r w:rsidRPr="00E14E0F">
        <w:rPr>
          <w:color w:val="0E0E0E"/>
        </w:rPr>
        <w:t xml:space="preserve">, Demin Ma </w:t>
      </w:r>
      <w:r w:rsidR="009102BF">
        <w:rPr>
          <w:rFonts w:hint="eastAsia"/>
          <w:vertAlign w:val="superscript"/>
          <w:lang w:eastAsia="zh-CN"/>
        </w:rPr>
        <w:t>3</w:t>
      </w:r>
      <w:r w:rsidRPr="00E14E0F">
        <w:rPr>
          <w:color w:val="0E0E0E"/>
        </w:rPr>
        <w:t xml:space="preserve">, Zhiyong Gu </w:t>
      </w:r>
      <w:r w:rsidR="009102BF">
        <w:rPr>
          <w:rFonts w:hint="eastAsia"/>
          <w:vertAlign w:val="superscript"/>
          <w:lang w:eastAsia="zh-CN"/>
        </w:rPr>
        <w:t>1</w:t>
      </w:r>
      <w:r w:rsidRPr="00E14E0F">
        <w:rPr>
          <w:vertAlign w:val="superscript"/>
        </w:rPr>
        <w:t xml:space="preserve">, </w:t>
      </w:r>
      <w:r w:rsidR="009102BF">
        <w:rPr>
          <w:rFonts w:hint="eastAsia"/>
          <w:vertAlign w:val="superscript"/>
          <w:lang w:eastAsia="zh-CN"/>
        </w:rPr>
        <w:t>4</w:t>
      </w:r>
      <w:r w:rsidRPr="00E14E0F">
        <w:rPr>
          <w:color w:val="0E0E0E"/>
        </w:rPr>
        <w:t xml:space="preserve">, Haiyan Xu </w:t>
      </w:r>
      <w:r w:rsidR="009102BF">
        <w:rPr>
          <w:rFonts w:hint="eastAsia"/>
          <w:vertAlign w:val="superscript"/>
          <w:lang w:eastAsia="zh-CN"/>
        </w:rPr>
        <w:t>1</w:t>
      </w:r>
      <w:r w:rsidRPr="00E14E0F">
        <w:rPr>
          <w:vertAlign w:val="superscript"/>
        </w:rPr>
        <w:t xml:space="preserve">, </w:t>
      </w:r>
      <w:r w:rsidR="009102BF">
        <w:rPr>
          <w:rFonts w:hint="eastAsia"/>
          <w:vertAlign w:val="superscript"/>
          <w:lang w:eastAsia="zh-CN"/>
        </w:rPr>
        <w:t>4</w:t>
      </w:r>
      <w:r w:rsidRPr="00E14E0F">
        <w:rPr>
          <w:color w:val="0E0E0E"/>
        </w:rPr>
        <w:t xml:space="preserve">, Fajun Nan </w:t>
      </w:r>
      <w:r w:rsidR="009102BF">
        <w:rPr>
          <w:rFonts w:hint="eastAsia"/>
          <w:vertAlign w:val="superscript"/>
          <w:lang w:eastAsia="zh-CN"/>
        </w:rPr>
        <w:t>1</w:t>
      </w:r>
      <w:r w:rsidRPr="00E14E0F">
        <w:rPr>
          <w:vertAlign w:val="superscript"/>
        </w:rPr>
        <w:t xml:space="preserve">, </w:t>
      </w:r>
      <w:r w:rsidR="009102BF">
        <w:rPr>
          <w:rFonts w:hint="eastAsia"/>
          <w:vertAlign w:val="superscript"/>
          <w:lang w:eastAsia="zh-CN"/>
        </w:rPr>
        <w:t>2</w:t>
      </w:r>
      <w:r w:rsidRPr="00E14E0F">
        <w:rPr>
          <w:color w:val="0E0E0E"/>
        </w:rPr>
        <w:t xml:space="preserve">, Jiangtao Guo </w:t>
      </w:r>
      <w:r w:rsidR="009102BF">
        <w:rPr>
          <w:rFonts w:hint="eastAsia"/>
          <w:vertAlign w:val="superscript"/>
          <w:lang w:eastAsia="zh-CN"/>
        </w:rPr>
        <w:t>3</w:t>
      </w:r>
      <w:r w:rsidRPr="00E14E0F">
        <w:rPr>
          <w:vertAlign w:val="superscript"/>
        </w:rPr>
        <w:t xml:space="preserve"> </w:t>
      </w:r>
      <w:r w:rsidRPr="00E14E0F">
        <w:rPr>
          <w:color w:val="0E0E0E"/>
        </w:rPr>
        <w:t xml:space="preserve">*, Zhaobing Gao </w:t>
      </w:r>
      <w:r w:rsidR="009102BF">
        <w:rPr>
          <w:rFonts w:hint="eastAsia"/>
          <w:vertAlign w:val="superscript"/>
          <w:lang w:eastAsia="zh-CN"/>
        </w:rPr>
        <w:t>1</w:t>
      </w:r>
      <w:r w:rsidRPr="00E14E0F">
        <w:rPr>
          <w:vertAlign w:val="superscript"/>
        </w:rPr>
        <w:t xml:space="preserve">, </w:t>
      </w:r>
      <w:r w:rsidR="009102BF">
        <w:rPr>
          <w:rFonts w:hint="eastAsia"/>
          <w:vertAlign w:val="superscript"/>
          <w:lang w:eastAsia="zh-CN"/>
        </w:rPr>
        <w:t>2</w:t>
      </w:r>
      <w:r w:rsidRPr="00E14E0F">
        <w:rPr>
          <w:vertAlign w:val="superscript"/>
        </w:rPr>
        <w:t xml:space="preserve">, </w:t>
      </w:r>
      <w:r w:rsidR="009102BF">
        <w:rPr>
          <w:rFonts w:hint="eastAsia"/>
          <w:vertAlign w:val="superscript"/>
          <w:lang w:eastAsia="zh-CN"/>
        </w:rPr>
        <w:t>4</w:t>
      </w:r>
      <w:r w:rsidRPr="00E14E0F">
        <w:rPr>
          <w:vertAlign w:val="superscript"/>
        </w:rPr>
        <w:t>,</w:t>
      </w:r>
      <w:r w:rsidR="009102BF">
        <w:rPr>
          <w:rFonts w:hint="eastAsia"/>
          <w:vertAlign w:val="superscript"/>
          <w:lang w:eastAsia="zh-CN"/>
        </w:rPr>
        <w:t xml:space="preserve"> </w:t>
      </w:r>
      <w:r w:rsidRPr="00E14E0F">
        <w:rPr>
          <w:color w:val="0E0E0E"/>
        </w:rPr>
        <w:t>*</w:t>
      </w:r>
    </w:p>
    <w:p w14:paraId="7526F5E8" w14:textId="44492967" w:rsidR="00C943C8" w:rsidRPr="00E14E0F" w:rsidRDefault="00C943C8" w:rsidP="0064445C">
      <w:pPr>
        <w:spacing w:line="360" w:lineRule="auto"/>
        <w:jc w:val="both"/>
        <w:rPr>
          <w:color w:val="0E0E0E"/>
        </w:rPr>
      </w:pPr>
      <w:r w:rsidRPr="009102BF">
        <w:rPr>
          <w:rFonts w:hint="eastAsia"/>
          <w:color w:val="0E0E0E"/>
          <w:vertAlign w:val="superscript"/>
          <w:lang w:eastAsia="zh-CN"/>
        </w:rPr>
        <w:t>1</w:t>
      </w:r>
      <w:r w:rsidRPr="00E14E0F">
        <w:rPr>
          <w:color w:val="0E0E0E"/>
        </w:rPr>
        <w:t xml:space="preserve"> State Key Laboratory of Drug Research, Shanghai Institute of Materia Medica, Chinese Academy of Sciences, Shanghai 201203, China</w:t>
      </w:r>
    </w:p>
    <w:p w14:paraId="72B4C1A9" w14:textId="66B47613" w:rsidR="00C943C8" w:rsidRPr="00E14E0F" w:rsidRDefault="00C943C8" w:rsidP="0064445C">
      <w:pPr>
        <w:spacing w:line="360" w:lineRule="auto"/>
        <w:jc w:val="both"/>
        <w:rPr>
          <w:color w:val="0E0E0E"/>
        </w:rPr>
      </w:pPr>
      <w:r w:rsidRPr="009102BF">
        <w:rPr>
          <w:rFonts w:hint="eastAsia"/>
          <w:color w:val="0E0E0E"/>
          <w:vertAlign w:val="superscript"/>
          <w:lang w:eastAsia="zh-CN"/>
        </w:rPr>
        <w:t>2</w:t>
      </w:r>
      <w:r w:rsidRPr="00E14E0F">
        <w:rPr>
          <w:color w:val="0E0E0E"/>
        </w:rPr>
        <w:t xml:space="preserve"> College of Pharmacy, University of Chinese Academy of Sciences, Beijing 100049, China</w:t>
      </w:r>
    </w:p>
    <w:p w14:paraId="1B765E51" w14:textId="32617DC9" w:rsidR="00C943C8" w:rsidRPr="00E14E0F" w:rsidRDefault="00C943C8" w:rsidP="0064445C">
      <w:pPr>
        <w:spacing w:line="360" w:lineRule="auto"/>
        <w:jc w:val="both"/>
        <w:rPr>
          <w:color w:val="0E0E0E"/>
        </w:rPr>
      </w:pPr>
      <w:r w:rsidRPr="009102BF">
        <w:rPr>
          <w:rFonts w:hint="eastAsia"/>
          <w:color w:val="0E0E0E"/>
          <w:vertAlign w:val="superscript"/>
          <w:lang w:eastAsia="zh-CN"/>
        </w:rPr>
        <w:t>3</w:t>
      </w:r>
      <w:r w:rsidRPr="00E14E0F">
        <w:rPr>
          <w:color w:val="0E0E0E"/>
        </w:rPr>
        <w:t xml:space="preserve"> Department of Biophysics and Department of Neurology of the Fourth Affiliated Hospital, Zhejiang University School of Medicine, Hangzhou 310058, China</w:t>
      </w:r>
    </w:p>
    <w:p w14:paraId="270D0EE3" w14:textId="21F00ED1" w:rsidR="00C943C8" w:rsidRPr="00E14E0F" w:rsidRDefault="00C943C8" w:rsidP="0064445C">
      <w:pPr>
        <w:spacing w:line="360" w:lineRule="auto"/>
        <w:jc w:val="both"/>
        <w:rPr>
          <w:color w:val="0E0E0E"/>
        </w:rPr>
      </w:pPr>
      <w:r w:rsidRPr="009102BF">
        <w:rPr>
          <w:rFonts w:hint="eastAsia"/>
          <w:color w:val="0E0E0E"/>
          <w:vertAlign w:val="superscript"/>
          <w:lang w:eastAsia="zh-CN"/>
        </w:rPr>
        <w:t>4</w:t>
      </w:r>
      <w:r w:rsidRPr="00E14E0F">
        <w:rPr>
          <w:color w:val="0E0E0E"/>
        </w:rPr>
        <w:t xml:space="preserve"> Center for Neurological and Psychiatric Research and Drug Discovery, Shanghai Institute of Materia Medica, Chinese Academy of Sciences, Shanghai 201203, China</w:t>
      </w:r>
    </w:p>
    <w:p w14:paraId="2264A895" w14:textId="77777777" w:rsidR="009102BF" w:rsidRDefault="009102BF" w:rsidP="00736922">
      <w:pPr>
        <w:spacing w:after="0"/>
        <w:rPr>
          <w:i/>
          <w:iCs/>
          <w:vertAlign w:val="superscript"/>
          <w:lang w:val="en-GB"/>
        </w:rPr>
      </w:pPr>
    </w:p>
    <w:p w14:paraId="683011D9" w14:textId="69745868" w:rsidR="00736922" w:rsidRPr="0064445C" w:rsidRDefault="00736922" w:rsidP="00736922">
      <w:pPr>
        <w:spacing w:after="0"/>
        <w:rPr>
          <w:b/>
          <w:bCs/>
          <w:lang w:val="en-GB"/>
        </w:rPr>
      </w:pPr>
      <w:r w:rsidRPr="0064445C">
        <w:rPr>
          <w:b/>
          <w:bCs/>
          <w:lang w:val="en-GB"/>
        </w:rPr>
        <w:t>MAIN TEXT</w:t>
      </w:r>
      <w:r w:rsidR="00E5603A" w:rsidRPr="0064445C">
        <w:rPr>
          <w:b/>
          <w:bCs/>
          <w:lang w:val="en-GB"/>
        </w:rPr>
        <w:t>:</w:t>
      </w:r>
    </w:p>
    <w:p w14:paraId="71565856" w14:textId="4363554A" w:rsidR="00823644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Introduction</w:t>
      </w:r>
    </w:p>
    <w:p w14:paraId="01A51DC5" w14:textId="4EF50E9D" w:rsidR="00EC15ED" w:rsidRDefault="00EC15ED" w:rsidP="00EC15ED">
      <w:pPr>
        <w:jc w:val="both"/>
        <w:rPr>
          <w:lang w:val="en-GB"/>
        </w:rPr>
      </w:pPr>
      <w:r w:rsidRPr="00EC15ED">
        <w:rPr>
          <w:lang w:val="en-GB"/>
        </w:rPr>
        <w:t>Peripheral ion channels are important regulators of nociceptive excitability and represent promising targets for non-opioid analgesic development. KCNQ/Kv7 potassium channels provide a stabilizing outward conductance that limits neuronal hyperexcitability; however, the therapeutic value of targeting individual KCNQ subtypes remains incompletely defined. Here, we investigated whether pharmacological activation of KCNQ4 could modulate peripheral nociceptive signaling and produce analgesic benefit.</w:t>
      </w:r>
    </w:p>
    <w:p w14:paraId="29145C13" w14:textId="1BF0D842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Methods</w:t>
      </w:r>
    </w:p>
    <w:p w14:paraId="05288EBE" w14:textId="73B3A49A" w:rsidR="0064445C" w:rsidRPr="0064445C" w:rsidRDefault="00EC15ED" w:rsidP="00EC15ED">
      <w:pPr>
        <w:jc w:val="both"/>
        <w:rPr>
          <w:lang w:val="en-GB"/>
        </w:rPr>
      </w:pPr>
      <w:r w:rsidRPr="00EC15ED">
        <w:rPr>
          <w:lang w:val="en-GB"/>
        </w:rPr>
        <w:t xml:space="preserve">We combined molecular profiling, genetic loss-of-function analysis, whole-cell patch-clamp recordings, </w:t>
      </w:r>
      <w:r w:rsidRPr="00EC15ED">
        <w:rPr>
          <w:i/>
          <w:iCs/>
          <w:lang w:val="en-GB"/>
        </w:rPr>
        <w:t>ex vivo</w:t>
      </w:r>
      <w:r w:rsidRPr="00EC15ED">
        <w:rPr>
          <w:lang w:val="en-GB"/>
        </w:rPr>
        <w:t xml:space="preserve"> functional assays, and </w:t>
      </w:r>
      <w:r w:rsidRPr="00EC15ED">
        <w:rPr>
          <w:i/>
          <w:iCs/>
          <w:lang w:val="en-GB"/>
        </w:rPr>
        <w:t>in vivo</w:t>
      </w:r>
      <w:r w:rsidRPr="00EC15ED">
        <w:rPr>
          <w:lang w:val="en-GB"/>
        </w:rPr>
        <w:t xml:space="preserve"> pharmacology. </w:t>
      </w:r>
      <w:r w:rsidR="001576F6" w:rsidRPr="001576F6">
        <w:rPr>
          <w:lang w:val="en-GB"/>
        </w:rPr>
        <w:t>KCNQ4 expression and functional contribution were assessed in peripheral nociception-related tissues. A newly developed small-molecule activator was evaluated in heterologous expression systems. Primary sensory neuron recordings and animal behavioral studies were used to assess its functional and pharmacological effects.</w:t>
      </w:r>
    </w:p>
    <w:p w14:paraId="72B508C1" w14:textId="76F942CE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Results</w:t>
      </w:r>
    </w:p>
    <w:p w14:paraId="08135A1A" w14:textId="34B154EF" w:rsidR="0064445C" w:rsidRPr="0064445C" w:rsidRDefault="001576F6" w:rsidP="00EC15ED">
      <w:pPr>
        <w:jc w:val="both"/>
        <w:rPr>
          <w:lang w:val="en-GB"/>
        </w:rPr>
      </w:pPr>
      <w:r w:rsidRPr="001576F6">
        <w:rPr>
          <w:lang w:val="en-GB"/>
        </w:rPr>
        <w:lastRenderedPageBreak/>
        <w:t xml:space="preserve">KCNQ4 was detected in peripheral compartments associated with nociceptive regulation, and genetic deletion of </w:t>
      </w:r>
      <w:r w:rsidRPr="001576F6">
        <w:rPr>
          <w:i/>
          <w:iCs/>
          <w:lang w:val="en-GB"/>
        </w:rPr>
        <w:t>Kcnq4</w:t>
      </w:r>
      <w:r w:rsidRPr="001576F6">
        <w:rPr>
          <w:lang w:val="en-GB"/>
        </w:rPr>
        <w:t xml:space="preserve"> enhanced pain-related sensitivity, supporting an endogenous inhibitory role for this channel. A newly developed small-molecule activator potentiated KCNQ4 currents and was further evaluated in peripheral </w:t>
      </w:r>
      <w:r w:rsidR="00921BE6" w:rsidRPr="00921BE6">
        <w:rPr>
          <w:lang w:val="en-GB"/>
        </w:rPr>
        <w:t>preparations</w:t>
      </w:r>
      <w:r w:rsidRPr="001576F6">
        <w:rPr>
          <w:lang w:val="en-GB"/>
        </w:rPr>
        <w:t xml:space="preserve">. In primary sensory neurons, the compound enhanced KCNQ-mediated M-current and suppressed action potential firing; these effects were markedly reduced in </w:t>
      </w:r>
      <w:r w:rsidRPr="001576F6">
        <w:rPr>
          <w:i/>
          <w:iCs/>
          <w:lang w:val="en-GB"/>
        </w:rPr>
        <w:t>Kcnq4</w:t>
      </w:r>
      <w:r w:rsidRPr="001576F6">
        <w:rPr>
          <w:lang w:val="en-GB"/>
        </w:rPr>
        <w:t xml:space="preserve">-deficient neurons. </w:t>
      </w:r>
      <w:r w:rsidRPr="001576F6">
        <w:rPr>
          <w:i/>
          <w:iCs/>
          <w:lang w:val="en-GB"/>
        </w:rPr>
        <w:t>In vivo</w:t>
      </w:r>
      <w:r w:rsidRPr="001576F6">
        <w:rPr>
          <w:lang w:val="en-GB"/>
        </w:rPr>
        <w:t xml:space="preserve">, the compound produced significant analgesic efficacy in multiple preclinical assays, with effects substantially attenuated in </w:t>
      </w:r>
      <w:r w:rsidRPr="001576F6">
        <w:rPr>
          <w:i/>
          <w:iCs/>
          <w:lang w:val="en-GB"/>
        </w:rPr>
        <w:t>Kcnq4</w:t>
      </w:r>
      <w:r w:rsidRPr="001576F6">
        <w:rPr>
          <w:lang w:val="en-GB"/>
        </w:rPr>
        <w:t>-deficient mice. Behavioral safety assays did not reveal obvious locomotor suppression or motor impairment under the tested conditions</w:t>
      </w:r>
      <w:r w:rsidR="00D06109" w:rsidRPr="00D06109">
        <w:rPr>
          <w:lang w:val="en-GB"/>
        </w:rPr>
        <w:t>.</w:t>
      </w:r>
    </w:p>
    <w:p w14:paraId="2725ED62" w14:textId="55D3F9DD" w:rsidR="00736922" w:rsidRPr="003D1FF6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Conclusions</w:t>
      </w:r>
    </w:p>
    <w:p w14:paraId="77BE2BF3" w14:textId="25540C24" w:rsidR="00736922" w:rsidRPr="00D81266" w:rsidRDefault="001576F6" w:rsidP="001576F6">
      <w:pPr>
        <w:jc w:val="both"/>
        <w:rPr>
          <w:lang w:val="en-GB"/>
        </w:rPr>
      </w:pPr>
      <w:r w:rsidRPr="001576F6">
        <w:rPr>
          <w:lang w:val="en-GB"/>
        </w:rPr>
        <w:t>These findings identify KCNQ4 as a peripheral inhibitory regulator of nociceptive signaling and support pharmacological activation of KCNQ4 as a promising non-opioid strategy for analgesic development. The newly developed small-molecule activator provides a useful chemical probe for dissecting KCNQ4 function in peripheral nociceptive regulation.</w:t>
      </w:r>
    </w:p>
    <w:sectPr w:rsidR="00736922" w:rsidRPr="00D8126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3D7F" w14:textId="77777777" w:rsidR="00166EB5" w:rsidRDefault="00166EB5" w:rsidP="003D1FF6">
      <w:pPr>
        <w:spacing w:after="0" w:line="240" w:lineRule="auto"/>
      </w:pPr>
      <w:r>
        <w:separator/>
      </w:r>
    </w:p>
  </w:endnote>
  <w:endnote w:type="continuationSeparator" w:id="0">
    <w:p w14:paraId="0C56F801" w14:textId="77777777" w:rsidR="00166EB5" w:rsidRDefault="00166EB5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E3E0" w14:textId="77777777" w:rsidR="00166EB5" w:rsidRDefault="00166EB5" w:rsidP="003D1FF6">
      <w:pPr>
        <w:spacing w:after="0" w:line="240" w:lineRule="auto"/>
      </w:pPr>
      <w:r>
        <w:separator/>
      </w:r>
    </w:p>
  </w:footnote>
  <w:footnote w:type="continuationSeparator" w:id="0">
    <w:p w14:paraId="02951600" w14:textId="77777777" w:rsidR="00166EB5" w:rsidRDefault="00166EB5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C12B" w14:textId="3C31B133" w:rsidR="003D1FF6" w:rsidRPr="003D1FF6" w:rsidRDefault="003D1FF6" w:rsidP="003D1FF6">
    <w:pPr>
      <w:pStyle w:val="ae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0C3B9C"/>
    <w:rsid w:val="001576F6"/>
    <w:rsid w:val="00166EB5"/>
    <w:rsid w:val="001B0E10"/>
    <w:rsid w:val="002346C8"/>
    <w:rsid w:val="00241D7C"/>
    <w:rsid w:val="002514AA"/>
    <w:rsid w:val="002676A1"/>
    <w:rsid w:val="003D1FF6"/>
    <w:rsid w:val="00446FA6"/>
    <w:rsid w:val="00454BDF"/>
    <w:rsid w:val="005E6E54"/>
    <w:rsid w:val="0064445C"/>
    <w:rsid w:val="00736922"/>
    <w:rsid w:val="00823644"/>
    <w:rsid w:val="00824A0D"/>
    <w:rsid w:val="008615F0"/>
    <w:rsid w:val="008729AE"/>
    <w:rsid w:val="009102BF"/>
    <w:rsid w:val="00921BE6"/>
    <w:rsid w:val="00A47727"/>
    <w:rsid w:val="00AA2F48"/>
    <w:rsid w:val="00AF7AD2"/>
    <w:rsid w:val="00C943C8"/>
    <w:rsid w:val="00CA63B4"/>
    <w:rsid w:val="00CF344F"/>
    <w:rsid w:val="00D06109"/>
    <w:rsid w:val="00D342FA"/>
    <w:rsid w:val="00D81266"/>
    <w:rsid w:val="00E5603A"/>
    <w:rsid w:val="00EA09C1"/>
    <w:rsid w:val="00EC15ED"/>
    <w:rsid w:val="00F52C21"/>
    <w:rsid w:val="00F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6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6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3D1FF6"/>
  </w:style>
  <w:style w:type="paragraph" w:styleId="af0">
    <w:name w:val="footer"/>
    <w:basedOn w:val="a"/>
    <w:link w:val="af1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3D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383</Words>
  <Characters>2561</Characters>
  <Application>Microsoft Office Word</Application>
  <DocSecurity>0</DocSecurity>
  <Lines>44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龙 王</cp:lastModifiedBy>
  <cp:revision>12</cp:revision>
  <dcterms:created xsi:type="dcterms:W3CDTF">2025-11-28T15:30:00Z</dcterms:created>
  <dcterms:modified xsi:type="dcterms:W3CDTF">2026-05-01T02:05:00Z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