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3D0FC22A" w14:textId="77777777" w:rsidR="00374D41" w:rsidRPr="00FF1857" w:rsidRDefault="00374D41" w:rsidP="00374D4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AKtiva7e: A Proof-of-Concept </w:t>
      </w:r>
      <w:r w:rsidRPr="00021623">
        <w:rPr>
          <w:b/>
          <w:bCs/>
          <w:lang w:val="en-US"/>
        </w:rPr>
        <w:t>P</w:t>
      </w:r>
      <w:r>
        <w:rPr>
          <w:b/>
          <w:bCs/>
          <w:lang w:val="en-US"/>
        </w:rPr>
        <w:t>hase</w:t>
      </w:r>
      <w:r w:rsidRPr="00021623">
        <w:rPr>
          <w:b/>
          <w:bCs/>
          <w:lang w:val="en-US"/>
        </w:rPr>
        <w:t xml:space="preserve"> 1</w:t>
      </w:r>
      <w:r>
        <w:rPr>
          <w:b/>
          <w:bCs/>
          <w:lang w:val="en-US"/>
        </w:rPr>
        <w:t xml:space="preserve">b study to evaluate the safety, tolerability, efficacy, and pharmacokinetics of QRL-101, a novel KV7.2/7.3 modulator, in </w:t>
      </w:r>
      <w:r>
        <w:rPr>
          <w:b/>
          <w:bCs/>
          <w:i/>
          <w:iCs/>
          <w:lang w:val="en-US"/>
        </w:rPr>
        <w:t xml:space="preserve">KCNQ2/KCNQ3 </w:t>
      </w:r>
      <w:r>
        <w:rPr>
          <w:b/>
          <w:bCs/>
          <w:lang w:val="en-US"/>
        </w:rPr>
        <w:t>related epilepsy</w:t>
      </w:r>
    </w:p>
    <w:p w14:paraId="73DE1D57" w14:textId="7F049C26" w:rsidR="00374D41" w:rsidRDefault="00374D41" w:rsidP="00823644">
      <w:pPr>
        <w:rPr>
          <w:i/>
          <w:iCs/>
          <w:vertAlign w:val="superscript"/>
          <w:lang w:val="en-GB"/>
        </w:rPr>
      </w:pPr>
      <w:r>
        <w:rPr>
          <w:lang w:val="en-US"/>
        </w:rPr>
        <w:t>Taylor Gray</w:t>
      </w:r>
      <w:r>
        <w:rPr>
          <w:vertAlign w:val="superscript"/>
          <w:lang w:val="en-US"/>
        </w:rPr>
        <w:t>1</w:t>
      </w:r>
      <w:r>
        <w:rPr>
          <w:lang w:val="en-US"/>
        </w:rPr>
        <w:t>, Samantha Rubino</w:t>
      </w:r>
      <w:r>
        <w:rPr>
          <w:vertAlign w:val="superscript"/>
          <w:lang w:val="en-US"/>
        </w:rPr>
        <w:t>1</w:t>
      </w:r>
      <w:r>
        <w:rPr>
          <w:lang w:val="en-US"/>
        </w:rPr>
        <w:t>, Tracy Kemp</w:t>
      </w:r>
      <w:r>
        <w:rPr>
          <w:vertAlign w:val="superscript"/>
          <w:lang w:val="en-US"/>
        </w:rPr>
        <w:t>1</w:t>
      </w:r>
      <w:r>
        <w:rPr>
          <w:lang w:val="en-US"/>
        </w:rPr>
        <w:t>, T</w:t>
      </w:r>
      <w:r>
        <w:rPr>
          <w:lang w:val="en-US"/>
        </w:rPr>
        <w:t>h</w:t>
      </w:r>
      <w:r>
        <w:rPr>
          <w:lang w:val="en-US"/>
        </w:rPr>
        <w:t>om</w:t>
      </w:r>
      <w:r>
        <w:rPr>
          <w:lang w:val="en-US"/>
        </w:rPr>
        <w:t>as</w:t>
      </w:r>
      <w:r>
        <w:rPr>
          <w:lang w:val="en-US"/>
        </w:rPr>
        <w:t xml:space="preserve"> Bowman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374D41">
        <w:rPr>
          <w:u w:val="single"/>
          <w:lang w:val="en-US"/>
        </w:rPr>
        <w:t>Manoj Malhotra</w:t>
      </w:r>
      <w:r w:rsidRPr="00374D41">
        <w:rPr>
          <w:i/>
          <w:iCs/>
          <w:u w:val="single"/>
          <w:vertAlign w:val="superscript"/>
          <w:lang w:val="en-GB"/>
        </w:rPr>
        <w:t xml:space="preserve"> </w:t>
      </w:r>
      <w:r w:rsidR="00736922" w:rsidRPr="00374D41">
        <w:rPr>
          <w:i/>
          <w:iCs/>
          <w:u w:val="single"/>
          <w:vertAlign w:val="superscript"/>
          <w:lang w:val="en-GB"/>
        </w:rPr>
        <w:t>1</w:t>
      </w:r>
    </w:p>
    <w:p w14:paraId="19E14480" w14:textId="4D3924E1" w:rsidR="00374D41" w:rsidRDefault="00374D41" w:rsidP="00736922">
      <w:pPr>
        <w:spacing w:after="0"/>
        <w:rPr>
          <w:lang w:val="en-GB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>QurAlis Corporation, Cambridge, MA, USA</w:t>
      </w:r>
      <w:r>
        <w:rPr>
          <w:lang w:val="en-GB"/>
        </w:rPr>
        <w:t xml:space="preserve"> </w:t>
      </w:r>
    </w:p>
    <w:p w14:paraId="0ECC4329" w14:textId="77777777" w:rsidR="00374D41" w:rsidRDefault="00374D41" w:rsidP="00736922">
      <w:pPr>
        <w:spacing w:after="0"/>
        <w:rPr>
          <w:lang w:val="en-GB"/>
        </w:rPr>
      </w:pPr>
    </w:p>
    <w:p w14:paraId="683011D9" w14:textId="720D99A5" w:rsidR="00736922" w:rsidRDefault="00736922" w:rsidP="00736922">
      <w:pPr>
        <w:spacing w:after="0"/>
        <w:rPr>
          <w:lang w:val="en-GB"/>
        </w:rPr>
      </w:pPr>
      <w:r>
        <w:rPr>
          <w:lang w:val="en-GB"/>
        </w:rPr>
        <w:t>MAIN TEXT (max 400 words, no figures)</w:t>
      </w:r>
      <w:r w:rsidR="00E5603A">
        <w:rPr>
          <w:lang w:val="en-GB"/>
        </w:rPr>
        <w:t>:</w:t>
      </w:r>
    </w:p>
    <w:p w14:paraId="394ECB06" w14:textId="77777777" w:rsidR="00736922" w:rsidRDefault="00736922" w:rsidP="00736922">
      <w:pPr>
        <w:spacing w:after="0"/>
        <w:rPr>
          <w:lang w:val="en-GB"/>
        </w:rPr>
      </w:pP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117D6C9A" w14:textId="13BBFD0E" w:rsidR="00374D41" w:rsidRPr="003D1FF6" w:rsidRDefault="00374D41" w:rsidP="00823644">
      <w:pPr>
        <w:rPr>
          <w:b/>
          <w:bCs/>
          <w:u w:val="single"/>
          <w:lang w:val="en-GB"/>
        </w:rPr>
      </w:pPr>
      <w:r w:rsidRPr="002C126C">
        <w:rPr>
          <w:sz w:val="22"/>
          <w:szCs w:val="22"/>
        </w:rPr>
        <w:t xml:space="preserve">QRL-101 is a novel Kv7.2/7.3 modulator small molecule in a unique chemical class from ezogabine. QRL-101 is designed to enhance Kv7.2/7.3 selectivity and to strongly reduce GABA-A activity for the treatment of epilepsy. </w:t>
      </w:r>
      <w:r w:rsidRPr="002C126C">
        <w:rPr>
          <w:sz w:val="22"/>
          <w:szCs w:val="22"/>
          <w:lang w:val="en-US"/>
        </w:rPr>
        <w:t xml:space="preserve">Enhancement of Kv7.2/7.3 activity, and thus K+ M-current, is a tractable potential mechanism for regulating neuronal hyperexcitability and susceptibility to seizure propagation. </w:t>
      </w:r>
      <w:r w:rsidRPr="002C126C">
        <w:rPr>
          <w:i/>
          <w:iCs/>
          <w:sz w:val="22"/>
          <w:szCs w:val="22"/>
        </w:rPr>
        <w:t xml:space="preserve">KCNQ2 </w:t>
      </w:r>
      <w:r w:rsidRPr="002C126C">
        <w:rPr>
          <w:sz w:val="22"/>
          <w:szCs w:val="22"/>
        </w:rPr>
        <w:t>mutation is the leading cause of neonatal epilepsy and may result in other severe disabilities requirung lifelong care. There is currently therapy available for this population that targets enhanching Kv7.2/7.3 activity.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552F50BD" w14:textId="61F38569" w:rsidR="00374D41" w:rsidRPr="00374D41" w:rsidRDefault="00374D41" w:rsidP="00823644">
      <w:pPr>
        <w:rPr>
          <w:sz w:val="22"/>
          <w:szCs w:val="22"/>
        </w:rPr>
      </w:pPr>
      <w:r w:rsidRPr="002C126C">
        <w:rPr>
          <w:sz w:val="22"/>
          <w:szCs w:val="22"/>
        </w:rPr>
        <w:t xml:space="preserve">A proof of concept hybrid randomized, double-blind, placebo controlled Ph1b study will be initated in n=9 12-65yo with a </w:t>
      </w:r>
      <w:r w:rsidRPr="002C126C">
        <w:rPr>
          <w:i/>
          <w:iCs/>
          <w:sz w:val="22"/>
          <w:szCs w:val="22"/>
        </w:rPr>
        <w:t xml:space="preserve">KCNQ2/Q3 </w:t>
      </w:r>
      <w:r w:rsidRPr="002C126C">
        <w:rPr>
          <w:sz w:val="22"/>
          <w:szCs w:val="22"/>
        </w:rPr>
        <w:t xml:space="preserve">pathogenic mutation randomized 2:1 (QRL-101:placebo). A 4-week observational baseline period, to assess seizure frequency, will be followed by enrollment, randomization, </w:t>
      </w:r>
      <w:r>
        <w:rPr>
          <w:sz w:val="22"/>
          <w:szCs w:val="22"/>
        </w:rPr>
        <w:t>1-month</w:t>
      </w:r>
      <w:r w:rsidRPr="002C126C">
        <w:rPr>
          <w:sz w:val="22"/>
          <w:szCs w:val="22"/>
        </w:rPr>
        <w:t xml:space="preserve"> </w:t>
      </w:r>
      <w:r>
        <w:rPr>
          <w:sz w:val="22"/>
          <w:szCs w:val="22"/>
        </w:rPr>
        <w:t>dose adjustment</w:t>
      </w:r>
      <w:r w:rsidRPr="002C126C">
        <w:rPr>
          <w:sz w:val="22"/>
          <w:szCs w:val="22"/>
        </w:rPr>
        <w:t xml:space="preserve"> period, 3-month treatment, then a 1-week taper or enrollment into extended dosing for </w:t>
      </w:r>
      <w:r>
        <w:rPr>
          <w:sz w:val="22"/>
          <w:szCs w:val="22"/>
        </w:rPr>
        <w:t>2 years</w:t>
      </w:r>
      <w:r w:rsidRPr="002C126C">
        <w:rPr>
          <w:sz w:val="22"/>
          <w:szCs w:val="22"/>
        </w:rPr>
        <w:t xml:space="preserve">. </w:t>
      </w:r>
      <w:r w:rsidRPr="002C126C">
        <w:rPr>
          <w:i/>
          <w:iCs/>
          <w:sz w:val="22"/>
          <w:szCs w:val="22"/>
        </w:rPr>
        <w:t>KCNQ2/Q3</w:t>
      </w:r>
      <w:r w:rsidRPr="002C12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related epilepsy </w:t>
      </w:r>
      <w:r w:rsidRPr="002C126C">
        <w:rPr>
          <w:sz w:val="22"/>
          <w:szCs w:val="22"/>
        </w:rPr>
        <w:t xml:space="preserve">diagnosis is dependent on a Diagnostic Review Committee in which loss-of-function mutations and a seizure frequency of </w:t>
      </w:r>
      <w:r w:rsidRPr="002C126C">
        <w:rPr>
          <w:rFonts w:ascii="Times New Roman" w:hAnsi="Times New Roman" w:cs="Times New Roman"/>
          <w:sz w:val="22"/>
          <w:szCs w:val="22"/>
        </w:rPr>
        <w:t>≥</w:t>
      </w:r>
      <w:r w:rsidRPr="002C126C">
        <w:rPr>
          <w:sz w:val="22"/>
          <w:szCs w:val="22"/>
        </w:rPr>
        <w:t xml:space="preserve">2 seizures/month is required for enrollment into the study.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23E56BDF" w14:textId="7CF2874A" w:rsidR="00374D41" w:rsidRPr="003D1FF6" w:rsidRDefault="00374D41" w:rsidP="00823644">
      <w:pPr>
        <w:rPr>
          <w:b/>
          <w:bCs/>
          <w:u w:val="single"/>
          <w:lang w:val="en-GB"/>
        </w:rPr>
      </w:pPr>
      <w:r w:rsidRPr="002C126C">
        <w:rPr>
          <w:sz w:val="22"/>
          <w:szCs w:val="22"/>
        </w:rPr>
        <w:t xml:space="preserve">Primary endpoints are safety, tolerability, and pharmakokinetics. Key secondary endpoints are efficacy measures determined by reduction in seizures, additional efficacy secondaries include assessment of seizure trends, </w:t>
      </w:r>
      <w:r>
        <w:rPr>
          <w:sz w:val="22"/>
          <w:szCs w:val="22"/>
        </w:rPr>
        <w:t xml:space="preserve">CDD-SA, </w:t>
      </w:r>
      <w:r w:rsidRPr="002C126C">
        <w:rPr>
          <w:sz w:val="22"/>
          <w:szCs w:val="22"/>
        </w:rPr>
        <w:t>CGI and PGI.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77BE2BF3" w14:textId="1C044438" w:rsidR="00736922" w:rsidRDefault="00374D41" w:rsidP="00823644">
      <w:pPr>
        <w:rPr>
          <w:u w:val="single"/>
          <w:lang w:val="en-GB"/>
        </w:rPr>
      </w:pPr>
      <w:r w:rsidRPr="002C126C">
        <w:rPr>
          <w:sz w:val="22"/>
          <w:szCs w:val="22"/>
        </w:rPr>
        <w:t>Aktiva7e</w:t>
      </w:r>
      <w:r w:rsidRPr="002C126C">
        <w:rPr>
          <w:b/>
          <w:bCs/>
          <w:sz w:val="22"/>
          <w:szCs w:val="22"/>
        </w:rPr>
        <w:t xml:space="preserve"> </w:t>
      </w:r>
      <w:r w:rsidRPr="002C126C">
        <w:rPr>
          <w:sz w:val="22"/>
          <w:szCs w:val="22"/>
        </w:rPr>
        <w:t xml:space="preserve">will determine the safety, tolerability, PK, andearly insight on the effiacy of QRL-101 in </w:t>
      </w:r>
      <w:r w:rsidRPr="002C126C">
        <w:rPr>
          <w:i/>
          <w:iCs/>
          <w:sz w:val="22"/>
          <w:szCs w:val="22"/>
        </w:rPr>
        <w:t xml:space="preserve">KCNQ2/Q3 </w:t>
      </w:r>
      <w:r w:rsidRPr="002C126C">
        <w:rPr>
          <w:sz w:val="22"/>
          <w:szCs w:val="22"/>
        </w:rPr>
        <w:t xml:space="preserve">related epilepsy. QRL-101 has the potential to be a disease modifying precision medicine for the </w:t>
      </w:r>
      <w:r w:rsidRPr="002C126C">
        <w:rPr>
          <w:i/>
          <w:iCs/>
          <w:sz w:val="22"/>
          <w:szCs w:val="22"/>
        </w:rPr>
        <w:t xml:space="preserve">KCNQ2/Q3 </w:t>
      </w:r>
      <w:r w:rsidRPr="002C126C">
        <w:rPr>
          <w:sz w:val="22"/>
          <w:szCs w:val="22"/>
        </w:rPr>
        <w:t>LoF community</w:t>
      </w:r>
      <w:r>
        <w:t>.</w:t>
      </w: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8B6D" w14:textId="77777777" w:rsidR="003D1FF6" w:rsidRDefault="003D1FF6" w:rsidP="003D1FF6">
      <w:pPr>
        <w:spacing w:after="0" w:line="240" w:lineRule="auto"/>
      </w:pPr>
      <w:r>
        <w:separator/>
      </w:r>
    </w:p>
  </w:endnote>
  <w:endnote w:type="continuationSeparator" w:id="0">
    <w:p w14:paraId="59D4720D" w14:textId="77777777" w:rsidR="003D1FF6" w:rsidRDefault="003D1FF6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96AF" w14:textId="77777777" w:rsidR="003D1FF6" w:rsidRDefault="003D1FF6" w:rsidP="003D1FF6">
      <w:pPr>
        <w:spacing w:after="0" w:line="240" w:lineRule="auto"/>
      </w:pPr>
      <w:r>
        <w:separator/>
      </w:r>
    </w:p>
  </w:footnote>
  <w:footnote w:type="continuationSeparator" w:id="0">
    <w:p w14:paraId="66A90A48" w14:textId="77777777" w:rsidR="003D1FF6" w:rsidRDefault="003D1FF6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241D7C"/>
    <w:rsid w:val="00374D41"/>
    <w:rsid w:val="0037589E"/>
    <w:rsid w:val="003D1FF6"/>
    <w:rsid w:val="005E6E54"/>
    <w:rsid w:val="00736922"/>
    <w:rsid w:val="00823644"/>
    <w:rsid w:val="008729AE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1851</Characters>
  <Application>Microsoft Office Word</Application>
  <DocSecurity>0</DocSecurity>
  <Lines>63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Taylor Gray</cp:lastModifiedBy>
  <cp:revision>2</cp:revision>
  <dcterms:created xsi:type="dcterms:W3CDTF">2026-04-10T21:23:00Z</dcterms:created>
  <dcterms:modified xsi:type="dcterms:W3CDTF">2026-04-10T21:23:00Z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