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705FD" w14:textId="77777777" w:rsidR="001733F2" w:rsidRDefault="001733F2" w:rsidP="001733F2">
      <w:pPr>
        <w:spacing w:before="100" w:beforeAutospacing="1" w:after="100" w:afterAutospacing="1"/>
        <w:rPr>
          <w:rFonts w:ascii="Times New Roman" w:eastAsia="Times New Roman" w:hAnsi="Times New Roman" w:cs="Times New Roman"/>
          <w:lang w:eastAsia="es-ES_tradnl"/>
        </w:rPr>
      </w:pPr>
      <w:r w:rsidRPr="001733F2">
        <w:rPr>
          <w:rFonts w:ascii="Times New Roman" w:eastAsia="Times New Roman" w:hAnsi="Times New Roman" w:cs="Times New Roman"/>
          <w:b/>
          <w:bCs/>
          <w:lang w:eastAsia="es-ES_tradnl"/>
        </w:rPr>
        <w:t>Grupo de trabajo:</w:t>
      </w:r>
      <w:r w:rsidRPr="001733F2">
        <w:rPr>
          <w:rFonts w:ascii="Times New Roman" w:eastAsia="Times New Roman" w:hAnsi="Times New Roman" w:cs="Times New Roman"/>
          <w:lang w:eastAsia="es-ES_tradnl"/>
        </w:rPr>
        <w:t xml:space="preserve"> Sociología Urbana</w:t>
      </w:r>
      <w:r w:rsidRPr="001733F2">
        <w:rPr>
          <w:rFonts w:ascii="Times New Roman" w:eastAsia="Times New Roman" w:hAnsi="Times New Roman" w:cs="Times New Roman"/>
          <w:lang w:eastAsia="es-ES_tradnl"/>
        </w:rPr>
        <w:br/>
      </w:r>
      <w:r w:rsidRPr="001733F2">
        <w:rPr>
          <w:rFonts w:ascii="Times New Roman" w:eastAsia="Times New Roman" w:hAnsi="Times New Roman" w:cs="Times New Roman"/>
          <w:b/>
          <w:bCs/>
          <w:lang w:eastAsia="es-ES_tradnl"/>
        </w:rPr>
        <w:t>Título:</w:t>
      </w:r>
      <w:r w:rsidRPr="001733F2">
        <w:rPr>
          <w:rFonts w:ascii="Times New Roman" w:eastAsia="Times New Roman" w:hAnsi="Times New Roman" w:cs="Times New Roman"/>
          <w:lang w:eastAsia="es-ES_tradnl"/>
        </w:rPr>
        <w:t xml:space="preserve"> Demasiados </w:t>
      </w:r>
      <w:proofErr w:type="spellStart"/>
      <w:r w:rsidRPr="001733F2">
        <w:rPr>
          <w:rFonts w:ascii="Times New Roman" w:eastAsia="Times New Roman" w:hAnsi="Times New Roman" w:cs="Times New Roman"/>
          <w:lang w:eastAsia="es-ES_tradnl"/>
        </w:rPr>
        <w:t>Brooklyns</w:t>
      </w:r>
      <w:proofErr w:type="spellEnd"/>
      <w:r w:rsidRPr="001733F2">
        <w:rPr>
          <w:rFonts w:ascii="Times New Roman" w:eastAsia="Times New Roman" w:hAnsi="Times New Roman" w:cs="Times New Roman"/>
          <w:lang w:eastAsia="es-ES_tradnl"/>
        </w:rPr>
        <w:t xml:space="preserve">: Entidades culturales en el proceso de gentrificación de Madrid </w:t>
      </w:r>
      <w:r w:rsidRPr="001733F2">
        <w:rPr>
          <w:rFonts w:ascii="Times New Roman" w:eastAsia="Times New Roman" w:hAnsi="Times New Roman" w:cs="Times New Roman"/>
          <w:lang w:eastAsia="es-ES_tradnl"/>
        </w:rPr>
        <w:br/>
      </w:r>
      <w:r w:rsidRPr="001733F2">
        <w:rPr>
          <w:rFonts w:ascii="Times New Roman" w:eastAsia="Times New Roman" w:hAnsi="Times New Roman" w:cs="Times New Roman"/>
          <w:b/>
          <w:bCs/>
          <w:lang w:eastAsia="es-ES_tradnl"/>
        </w:rPr>
        <w:t>Autores:</w:t>
      </w:r>
      <w:r w:rsidRPr="001733F2">
        <w:rPr>
          <w:rFonts w:ascii="Times New Roman" w:eastAsia="Times New Roman" w:hAnsi="Times New Roman" w:cs="Times New Roman"/>
          <w:lang w:eastAsia="es-ES_tradnl"/>
        </w:rPr>
        <w:t xml:space="preserve"> </w:t>
      </w:r>
    </w:p>
    <w:p w14:paraId="3B7027CC" w14:textId="39B9DA67" w:rsidR="001733F2" w:rsidRDefault="001733F2" w:rsidP="001733F2">
      <w:pPr>
        <w:spacing w:before="100" w:beforeAutospacing="1" w:after="100" w:afterAutospacing="1"/>
        <w:rPr>
          <w:rFonts w:ascii="Times New Roman" w:eastAsia="Times New Roman" w:hAnsi="Times New Roman" w:cs="Times New Roman"/>
          <w:lang w:eastAsia="es-ES_tradnl"/>
        </w:rPr>
      </w:pPr>
      <w:r w:rsidRPr="001733F2">
        <w:rPr>
          <w:rFonts w:ascii="Times New Roman" w:eastAsia="Times New Roman" w:hAnsi="Times New Roman" w:cs="Times New Roman"/>
          <w:lang w:eastAsia="es-ES_tradnl"/>
        </w:rPr>
        <w:t xml:space="preserve">Andrés </w:t>
      </w:r>
      <w:proofErr w:type="spellStart"/>
      <w:r w:rsidRPr="001733F2">
        <w:rPr>
          <w:rFonts w:ascii="Times New Roman" w:eastAsia="Times New Roman" w:hAnsi="Times New Roman" w:cs="Times New Roman"/>
          <w:lang w:eastAsia="es-ES_tradnl"/>
        </w:rPr>
        <w:t>Walliser</w:t>
      </w:r>
      <w:proofErr w:type="spellEnd"/>
      <w:r w:rsidRPr="001733F2">
        <w:rPr>
          <w:rFonts w:ascii="Times New Roman" w:eastAsia="Times New Roman" w:hAnsi="Times New Roman" w:cs="Times New Roman"/>
          <w:lang w:eastAsia="es-ES_tradnl"/>
        </w:rPr>
        <w:t xml:space="preserve"> </w:t>
      </w:r>
      <w:proofErr w:type="spellStart"/>
      <w:r w:rsidRPr="001733F2">
        <w:rPr>
          <w:rFonts w:ascii="Times New Roman" w:eastAsia="Times New Roman" w:hAnsi="Times New Roman" w:cs="Times New Roman"/>
          <w:lang w:eastAsia="es-ES_tradnl"/>
        </w:rPr>
        <w:t>Martinez</w:t>
      </w:r>
      <w:proofErr w:type="spellEnd"/>
      <w:r w:rsidRPr="001733F2">
        <w:rPr>
          <w:rFonts w:ascii="Times New Roman" w:eastAsia="Times New Roman" w:hAnsi="Times New Roman" w:cs="Times New Roman"/>
          <w:lang w:eastAsia="es-ES_tradnl"/>
        </w:rPr>
        <w:t xml:space="preserve"> (Universidad Complutense de Madrid)</w:t>
      </w:r>
      <w:r>
        <w:rPr>
          <w:rFonts w:ascii="Times New Roman" w:eastAsia="Times New Roman" w:hAnsi="Times New Roman" w:cs="Times New Roman"/>
          <w:lang w:eastAsia="es-ES_tradnl"/>
        </w:rPr>
        <w:t xml:space="preserve"> </w:t>
      </w:r>
      <w:hyperlink r:id="rId5" w:history="1">
        <w:r w:rsidRPr="00357D1D">
          <w:rPr>
            <w:rStyle w:val="Hipervnculo"/>
            <w:rFonts w:ascii="Times New Roman" w:eastAsia="Times New Roman" w:hAnsi="Times New Roman" w:cs="Times New Roman"/>
            <w:lang w:eastAsia="es-ES_tradnl"/>
          </w:rPr>
          <w:t>jwallise@ucm.es</w:t>
        </w:r>
      </w:hyperlink>
      <w:r>
        <w:rPr>
          <w:rFonts w:ascii="Times New Roman" w:eastAsia="Times New Roman" w:hAnsi="Times New Roman" w:cs="Times New Roman"/>
          <w:lang w:eastAsia="es-ES_tradnl"/>
        </w:rPr>
        <w:t xml:space="preserve"> </w:t>
      </w:r>
    </w:p>
    <w:p w14:paraId="7F7C3698" w14:textId="15E2DE20" w:rsidR="001733F2" w:rsidRPr="001733F2" w:rsidRDefault="001733F2" w:rsidP="001733F2">
      <w:pPr>
        <w:spacing w:before="100" w:beforeAutospacing="1" w:after="100" w:afterAutospacing="1"/>
        <w:rPr>
          <w:rFonts w:ascii="Times New Roman" w:eastAsia="Times New Roman" w:hAnsi="Times New Roman" w:cs="Times New Roman"/>
          <w:lang w:eastAsia="es-ES_tradnl"/>
        </w:rPr>
      </w:pPr>
      <w:r w:rsidRPr="001733F2">
        <w:rPr>
          <w:rFonts w:ascii="Times New Roman" w:eastAsia="Times New Roman" w:hAnsi="Times New Roman" w:cs="Times New Roman"/>
          <w:lang w:eastAsia="es-ES_tradnl"/>
        </w:rPr>
        <w:t xml:space="preserve"> Isabel Barbosa (Universidad Complutense de Madrid)</w:t>
      </w:r>
    </w:p>
    <w:p w14:paraId="5B47535D" w14:textId="77777777" w:rsidR="001733F2" w:rsidRPr="001733F2" w:rsidRDefault="001733F2" w:rsidP="001733F2">
      <w:pPr>
        <w:spacing w:before="100" w:beforeAutospacing="1" w:after="100" w:afterAutospacing="1"/>
        <w:outlineLvl w:val="2"/>
        <w:rPr>
          <w:rFonts w:ascii="Times New Roman" w:eastAsia="Times New Roman" w:hAnsi="Times New Roman" w:cs="Times New Roman"/>
          <w:b/>
          <w:bCs/>
          <w:sz w:val="27"/>
          <w:szCs w:val="27"/>
          <w:lang w:eastAsia="es-ES_tradnl"/>
        </w:rPr>
      </w:pPr>
      <w:r w:rsidRPr="001733F2">
        <w:rPr>
          <w:rFonts w:ascii="Times New Roman" w:eastAsia="Times New Roman" w:hAnsi="Times New Roman" w:cs="Times New Roman"/>
          <w:b/>
          <w:bCs/>
          <w:sz w:val="27"/>
          <w:szCs w:val="27"/>
          <w:lang w:eastAsia="es-ES_tradnl"/>
        </w:rPr>
        <w:t>1) Introducción: presentación y objetivos</w:t>
      </w:r>
    </w:p>
    <w:p w14:paraId="5A55F113" w14:textId="4872B995" w:rsidR="001733F2" w:rsidRPr="001733F2" w:rsidRDefault="001733F2" w:rsidP="001733F2">
      <w:pPr>
        <w:spacing w:before="100" w:beforeAutospacing="1" w:after="100" w:afterAutospacing="1"/>
        <w:contextualSpacing/>
        <w:rPr>
          <w:rFonts w:ascii="Times New Roman" w:eastAsia="Times New Roman" w:hAnsi="Times New Roman" w:cs="Times New Roman"/>
          <w:lang w:eastAsia="es-ES_tradnl"/>
        </w:rPr>
      </w:pPr>
      <w:r w:rsidRPr="001733F2">
        <w:rPr>
          <w:rFonts w:ascii="Times New Roman" w:eastAsia="Times New Roman" w:hAnsi="Times New Roman" w:cs="Times New Roman"/>
          <w:lang w:eastAsia="es-ES_tradnl"/>
        </w:rPr>
        <w:t xml:space="preserve">Las ciudades contemporáneas se encuentran inmersas en profundos procesos de reestructuración socioespacial, donde la cultura y la creatividad han pasado de ser expresiones orgánicas de la comunidad a convertirse, en muchos casos, en herramientas centrales para la revalorización del capital urbano. Este texto examina el papel ambivalente de las iniciativas culturales y creativas locales —conceptualizadas aquí como </w:t>
      </w:r>
      <w:r w:rsidRPr="001733F2">
        <w:rPr>
          <w:rFonts w:ascii="Times New Roman" w:eastAsia="Times New Roman" w:hAnsi="Times New Roman" w:cs="Times New Roman"/>
          <w:i/>
          <w:iCs/>
          <w:lang w:eastAsia="es-ES_tradnl"/>
        </w:rPr>
        <w:t xml:space="preserve">Local Cultural </w:t>
      </w:r>
      <w:proofErr w:type="spellStart"/>
      <w:r w:rsidRPr="001733F2">
        <w:rPr>
          <w:rFonts w:ascii="Times New Roman" w:eastAsia="Times New Roman" w:hAnsi="Times New Roman" w:cs="Times New Roman"/>
          <w:i/>
          <w:iCs/>
          <w:lang w:eastAsia="es-ES_tradnl"/>
        </w:rPr>
        <w:t>Praesidia</w:t>
      </w:r>
      <w:proofErr w:type="spellEnd"/>
      <w:r w:rsidRPr="001733F2">
        <w:rPr>
          <w:rFonts w:ascii="Times New Roman" w:eastAsia="Times New Roman" w:hAnsi="Times New Roman" w:cs="Times New Roman"/>
          <w:lang w:eastAsia="es-ES_tradnl"/>
        </w:rPr>
        <w:t xml:space="preserve"> (LCP)— en la ciudad de Madrid. A través de una mirada crítica, analizamos sus impactos en barrios que atraviesan diferentes fases de gentrificación promovida por </w:t>
      </w:r>
      <w:r>
        <w:rPr>
          <w:rFonts w:ascii="Times New Roman" w:eastAsia="Times New Roman" w:hAnsi="Times New Roman" w:cs="Times New Roman"/>
          <w:lang w:eastAsia="es-ES_tradnl"/>
        </w:rPr>
        <w:t>las admin</w:t>
      </w:r>
      <w:r w:rsidR="004A09BD">
        <w:rPr>
          <w:rFonts w:ascii="Times New Roman" w:eastAsia="Times New Roman" w:hAnsi="Times New Roman" w:cs="Times New Roman"/>
          <w:lang w:eastAsia="es-ES_tradnl"/>
        </w:rPr>
        <w:t>i</w:t>
      </w:r>
      <w:r>
        <w:rPr>
          <w:rFonts w:ascii="Times New Roman" w:eastAsia="Times New Roman" w:hAnsi="Times New Roman" w:cs="Times New Roman"/>
          <w:lang w:eastAsia="es-ES_tradnl"/>
        </w:rPr>
        <w:t xml:space="preserve">straciones públicas </w:t>
      </w:r>
      <w:r w:rsidRPr="001733F2">
        <w:rPr>
          <w:rFonts w:ascii="Times New Roman" w:eastAsia="Times New Roman" w:hAnsi="Times New Roman" w:cs="Times New Roman"/>
          <w:lang w:eastAsia="es-ES_tradnl"/>
        </w:rPr>
        <w:t>(</w:t>
      </w:r>
      <w:proofErr w:type="spellStart"/>
      <w:r w:rsidRPr="001733F2">
        <w:rPr>
          <w:rFonts w:ascii="Times New Roman" w:eastAsia="Times New Roman" w:hAnsi="Times New Roman" w:cs="Times New Roman"/>
          <w:i/>
          <w:iCs/>
          <w:lang w:eastAsia="es-ES_tradnl"/>
        </w:rPr>
        <w:t>state</w:t>
      </w:r>
      <w:proofErr w:type="spellEnd"/>
      <w:r w:rsidRPr="001733F2">
        <w:rPr>
          <w:rFonts w:ascii="Times New Roman" w:eastAsia="Times New Roman" w:hAnsi="Times New Roman" w:cs="Times New Roman"/>
          <w:i/>
          <w:iCs/>
          <w:lang w:eastAsia="es-ES_tradnl"/>
        </w:rPr>
        <w:t xml:space="preserve">-led </w:t>
      </w:r>
      <w:proofErr w:type="spellStart"/>
      <w:r w:rsidRPr="001733F2">
        <w:rPr>
          <w:rFonts w:ascii="Times New Roman" w:eastAsia="Times New Roman" w:hAnsi="Times New Roman" w:cs="Times New Roman"/>
          <w:i/>
          <w:iCs/>
          <w:lang w:eastAsia="es-ES_tradnl"/>
        </w:rPr>
        <w:t>gentrification</w:t>
      </w:r>
      <w:proofErr w:type="spellEnd"/>
      <w:r w:rsidRPr="001733F2">
        <w:rPr>
          <w:rFonts w:ascii="Times New Roman" w:eastAsia="Times New Roman" w:hAnsi="Times New Roman" w:cs="Times New Roman"/>
          <w:lang w:eastAsia="es-ES_tradnl"/>
        </w:rPr>
        <w:t xml:space="preserve">) </w:t>
      </w:r>
      <w:r>
        <w:rPr>
          <w:rFonts w:ascii="Times New Roman" w:eastAsia="Times New Roman" w:hAnsi="Times New Roman" w:cs="Times New Roman"/>
          <w:lang w:eastAsia="es-ES_tradnl"/>
        </w:rPr>
        <w:t xml:space="preserve">el mercado </w:t>
      </w:r>
      <w:r w:rsidRPr="001733F2">
        <w:rPr>
          <w:rFonts w:ascii="Times New Roman" w:eastAsia="Times New Roman" w:hAnsi="Times New Roman" w:cs="Times New Roman"/>
          <w:lang w:eastAsia="es-ES_tradnl"/>
        </w:rPr>
        <w:t>impulsadas frecuentemente por lógicas de inversión internacional</w:t>
      </w:r>
      <w:r>
        <w:rPr>
          <w:rFonts w:ascii="Times New Roman" w:eastAsia="Times New Roman" w:hAnsi="Times New Roman" w:cs="Times New Roman"/>
          <w:lang w:eastAsia="es-ES_tradnl"/>
        </w:rPr>
        <w:t xml:space="preserve"> a menudo entorno a la </w:t>
      </w:r>
      <w:proofErr w:type="spellStart"/>
      <w:r w:rsidRPr="001733F2">
        <w:rPr>
          <w:rFonts w:ascii="Times New Roman" w:eastAsia="Times New Roman" w:hAnsi="Times New Roman" w:cs="Times New Roman"/>
          <w:lang w:eastAsia="es-ES_tradnl"/>
        </w:rPr>
        <w:t>financiarización</w:t>
      </w:r>
      <w:proofErr w:type="spellEnd"/>
      <w:r>
        <w:rPr>
          <w:rFonts w:ascii="Times New Roman" w:eastAsia="Times New Roman" w:hAnsi="Times New Roman" w:cs="Times New Roman"/>
          <w:lang w:eastAsia="es-ES_tradnl"/>
        </w:rPr>
        <w:t xml:space="preserve"> de la propiedad inmobiliaria.</w:t>
      </w:r>
    </w:p>
    <w:p w14:paraId="781F0330" w14:textId="77777777" w:rsidR="001733F2" w:rsidRDefault="001733F2" w:rsidP="001733F2">
      <w:pPr>
        <w:spacing w:before="100" w:beforeAutospacing="1" w:after="100" w:afterAutospacing="1"/>
        <w:rPr>
          <w:rFonts w:ascii="Times New Roman" w:eastAsia="Times New Roman" w:hAnsi="Times New Roman" w:cs="Times New Roman"/>
          <w:lang w:eastAsia="es-ES_tradnl"/>
        </w:rPr>
      </w:pPr>
      <w:r w:rsidRPr="001733F2">
        <w:rPr>
          <w:rFonts w:ascii="Times New Roman" w:eastAsia="Times New Roman" w:hAnsi="Times New Roman" w:cs="Times New Roman"/>
          <w:lang w:eastAsia="es-ES_tradnl"/>
        </w:rPr>
        <w:t xml:space="preserve">Esta propuesta se enmarca en la investigación en curso del proyecto europeo </w:t>
      </w:r>
      <w:proofErr w:type="spellStart"/>
      <w:r w:rsidRPr="001733F2">
        <w:rPr>
          <w:rFonts w:ascii="Times New Roman" w:eastAsia="Times New Roman" w:hAnsi="Times New Roman" w:cs="Times New Roman"/>
          <w:lang w:eastAsia="es-ES_tradnl"/>
        </w:rPr>
        <w:t>Horizon</w:t>
      </w:r>
      <w:proofErr w:type="spellEnd"/>
      <w:r w:rsidRPr="001733F2">
        <w:rPr>
          <w:rFonts w:ascii="Times New Roman" w:eastAsia="Times New Roman" w:hAnsi="Times New Roman" w:cs="Times New Roman"/>
          <w:lang w:eastAsia="es-ES_tradnl"/>
        </w:rPr>
        <w:t xml:space="preserve"> START UP, que se encuentra actualmente en su fase inicial. </w:t>
      </w:r>
    </w:p>
    <w:p w14:paraId="64B048EF" w14:textId="77777777" w:rsidR="001733F2" w:rsidRDefault="001733F2" w:rsidP="001733F2">
      <w:pPr>
        <w:spacing w:before="100" w:beforeAutospacing="1" w:after="100" w:afterAutospacing="1"/>
        <w:rPr>
          <w:rFonts w:ascii="Times New Roman" w:eastAsia="Times New Roman" w:hAnsi="Times New Roman" w:cs="Times New Roman"/>
          <w:lang w:eastAsia="es-ES_tradnl"/>
        </w:rPr>
      </w:pPr>
    </w:p>
    <w:p w14:paraId="0B5F66A6" w14:textId="3585CAAD" w:rsidR="004A09BD" w:rsidRPr="001733F2" w:rsidRDefault="001733F2" w:rsidP="001733F2">
      <w:pPr>
        <w:spacing w:before="100" w:beforeAutospacing="1" w:after="100" w:afterAutospacing="1"/>
        <w:rPr>
          <w:rFonts w:ascii="Times New Roman" w:eastAsia="Times New Roman" w:hAnsi="Times New Roman" w:cs="Times New Roman"/>
          <w:lang w:eastAsia="es-ES_tradnl"/>
        </w:rPr>
      </w:pPr>
      <w:r w:rsidRPr="001733F2">
        <w:rPr>
          <w:rFonts w:ascii="Times New Roman" w:eastAsia="Times New Roman" w:hAnsi="Times New Roman" w:cs="Times New Roman"/>
          <w:lang w:eastAsia="es-ES_tradnl"/>
        </w:rPr>
        <w:t xml:space="preserve">El objetivo principal de esta comunicación es presentar los resultados preliminares del proyecto, centrados en desentrañar cómo los LCP, dependiendo de su tipología, generan impactos divergentes en el territorio: mientras en algunos casos se orientan a sostener a la población local, </w:t>
      </w:r>
      <w:r>
        <w:rPr>
          <w:rFonts w:ascii="Times New Roman" w:eastAsia="Times New Roman" w:hAnsi="Times New Roman" w:cs="Times New Roman"/>
          <w:lang w:eastAsia="es-ES_tradnl"/>
        </w:rPr>
        <w:t>tanto desde las instituciones, como desde la comunidad en procesos top-</w:t>
      </w:r>
      <w:proofErr w:type="spellStart"/>
      <w:r>
        <w:rPr>
          <w:rFonts w:ascii="Times New Roman" w:eastAsia="Times New Roman" w:hAnsi="Times New Roman" w:cs="Times New Roman"/>
          <w:lang w:eastAsia="es-ES_tradnl"/>
        </w:rPr>
        <w:t>down</w:t>
      </w:r>
      <w:proofErr w:type="spellEnd"/>
      <w:r>
        <w:rPr>
          <w:rFonts w:ascii="Times New Roman" w:eastAsia="Times New Roman" w:hAnsi="Times New Roman" w:cs="Times New Roman"/>
          <w:lang w:eastAsia="es-ES_tradnl"/>
        </w:rPr>
        <w:t xml:space="preserve"> y bottom-up, en otros casos</w:t>
      </w:r>
      <w:r w:rsidRPr="001733F2">
        <w:rPr>
          <w:rFonts w:ascii="Times New Roman" w:eastAsia="Times New Roman" w:hAnsi="Times New Roman" w:cs="Times New Roman"/>
          <w:lang w:eastAsia="es-ES_tradnl"/>
        </w:rPr>
        <w:t xml:space="preserve"> actúan atrayendo a nuevos residentes e inversiones, y generando complejos procesos de interpretación y re-significación del espacio urbano</w:t>
      </w:r>
      <w:r>
        <w:rPr>
          <w:rFonts w:ascii="Times New Roman" w:eastAsia="Times New Roman" w:hAnsi="Times New Roman" w:cs="Times New Roman"/>
          <w:lang w:eastAsia="es-ES_tradnl"/>
        </w:rPr>
        <w:t xml:space="preserve">, en el marco de los procesos de gentrificación </w:t>
      </w:r>
      <w:r w:rsidR="001B7CF9">
        <w:rPr>
          <w:rFonts w:ascii="Times New Roman" w:eastAsia="Times New Roman" w:hAnsi="Times New Roman" w:cs="Times New Roman"/>
          <w:lang w:eastAsia="es-ES_tradnl"/>
        </w:rPr>
        <w:t xml:space="preserve">y de operaciones de marketing urbano. La reconstrucción simbólica de determinados territorios urbanos, </w:t>
      </w:r>
      <w:r w:rsidR="004A09BD">
        <w:rPr>
          <w:rFonts w:ascii="Times New Roman" w:eastAsia="Times New Roman" w:hAnsi="Times New Roman" w:cs="Times New Roman"/>
          <w:lang w:eastAsia="es-ES_tradnl"/>
        </w:rPr>
        <w:t xml:space="preserve">con categorías o marcas globales supone una forma de colonización global y una sustitución de la identidad y singularidad local por otra u otras intercambiables según la fase del proceso en que se encuentre. </w:t>
      </w:r>
      <w:proofErr w:type="gramStart"/>
      <w:r w:rsidR="004A09BD">
        <w:rPr>
          <w:rFonts w:ascii="Times New Roman" w:eastAsia="Times New Roman" w:hAnsi="Times New Roman" w:cs="Times New Roman"/>
          <w:lang w:eastAsia="es-ES_tradnl"/>
        </w:rPr>
        <w:t>Así,  la</w:t>
      </w:r>
      <w:proofErr w:type="gramEnd"/>
      <w:r w:rsidR="004A09BD">
        <w:rPr>
          <w:rFonts w:ascii="Times New Roman" w:eastAsia="Times New Roman" w:hAnsi="Times New Roman" w:cs="Times New Roman"/>
          <w:lang w:eastAsia="es-ES_tradnl"/>
        </w:rPr>
        <w:t xml:space="preserve"> “</w:t>
      </w:r>
      <w:proofErr w:type="spellStart"/>
      <w:r w:rsidR="004A09BD">
        <w:rPr>
          <w:rFonts w:ascii="Times New Roman" w:eastAsia="Times New Roman" w:hAnsi="Times New Roman" w:cs="Times New Roman"/>
          <w:lang w:eastAsia="es-ES_tradnl"/>
        </w:rPr>
        <w:t>auntenticidad</w:t>
      </w:r>
      <w:proofErr w:type="spellEnd"/>
      <w:r w:rsidR="004A09BD">
        <w:rPr>
          <w:rFonts w:ascii="Times New Roman" w:eastAsia="Times New Roman" w:hAnsi="Times New Roman" w:cs="Times New Roman"/>
          <w:lang w:eastAsia="es-ES_tradnl"/>
        </w:rPr>
        <w:t xml:space="preserve">” de un barrio popular, antes obrero, después multicultural y hoy creativo se reviste de conceptos desleídos de consumo rápido en titulares de redes sociales y prensa. En el caso de algunos barrios de Madrid que analizamos en el proyecto </w:t>
      </w:r>
      <w:proofErr w:type="spellStart"/>
      <w:r w:rsidR="004A09BD">
        <w:rPr>
          <w:rFonts w:ascii="Times New Roman" w:eastAsia="Times New Roman" w:hAnsi="Times New Roman" w:cs="Times New Roman"/>
          <w:lang w:eastAsia="es-ES_tradnl"/>
        </w:rPr>
        <w:t>Start</w:t>
      </w:r>
      <w:proofErr w:type="spellEnd"/>
      <w:r w:rsidR="004A09BD">
        <w:rPr>
          <w:rFonts w:ascii="Times New Roman" w:eastAsia="Times New Roman" w:hAnsi="Times New Roman" w:cs="Times New Roman"/>
          <w:lang w:eastAsia="es-ES_tradnl"/>
        </w:rPr>
        <w:t xml:space="preserve"> UP se utiliza la marca Brooklyn como sinónimo de modernidad creativa y señal de salida de un proceso publicitado de recuperación o reconversión de algo no deseable en un lugar digno de ser conocido, consumido o invertido. El capital simbólico original (Harvey, 2007) es sustituido por la promesa de estilos de vida alternativos basados en una vaga imagen de producción cultural. Los ya viejos paradigmas de la ciudad creativa de Richard Florida (2005) siguen siendo como banderín de enganche no ya de la activación prospera de </w:t>
      </w:r>
      <w:proofErr w:type="gramStart"/>
      <w:r w:rsidR="004A09BD">
        <w:rPr>
          <w:rFonts w:ascii="Times New Roman" w:eastAsia="Times New Roman" w:hAnsi="Times New Roman" w:cs="Times New Roman"/>
          <w:lang w:eastAsia="es-ES_tradnl"/>
        </w:rPr>
        <w:t>un clase creativa</w:t>
      </w:r>
      <w:proofErr w:type="gramEnd"/>
      <w:r w:rsidR="004A09BD">
        <w:rPr>
          <w:rFonts w:ascii="Times New Roman" w:eastAsia="Times New Roman" w:hAnsi="Times New Roman" w:cs="Times New Roman"/>
          <w:lang w:eastAsia="es-ES_tradnl"/>
        </w:rPr>
        <w:t xml:space="preserve">, sino de un mercado inmobiliario </w:t>
      </w:r>
      <w:proofErr w:type="spellStart"/>
      <w:r w:rsidR="004A09BD">
        <w:rPr>
          <w:rFonts w:ascii="Times New Roman" w:eastAsia="Times New Roman" w:hAnsi="Times New Roman" w:cs="Times New Roman"/>
          <w:lang w:eastAsia="es-ES_tradnl"/>
        </w:rPr>
        <w:t>financiarizable</w:t>
      </w:r>
      <w:proofErr w:type="spellEnd"/>
      <w:r w:rsidR="003175FF">
        <w:rPr>
          <w:rFonts w:ascii="Times New Roman" w:eastAsia="Times New Roman" w:hAnsi="Times New Roman" w:cs="Times New Roman"/>
          <w:lang w:eastAsia="es-ES_tradnl"/>
        </w:rPr>
        <w:t xml:space="preserve">, en lo que </w:t>
      </w:r>
      <w:proofErr w:type="spellStart"/>
      <w:r w:rsidR="003175FF">
        <w:rPr>
          <w:rFonts w:ascii="Times New Roman" w:eastAsia="Times New Roman" w:hAnsi="Times New Roman" w:cs="Times New Roman"/>
          <w:lang w:eastAsia="es-ES_tradnl"/>
        </w:rPr>
        <w:t>Sequera</w:t>
      </w:r>
      <w:proofErr w:type="spellEnd"/>
      <w:r w:rsidR="003175FF">
        <w:rPr>
          <w:rFonts w:ascii="Times New Roman" w:eastAsia="Times New Roman" w:hAnsi="Times New Roman" w:cs="Times New Roman"/>
          <w:lang w:eastAsia="es-ES_tradnl"/>
        </w:rPr>
        <w:t xml:space="preserve"> denomina la </w:t>
      </w:r>
      <w:proofErr w:type="spellStart"/>
      <w:r w:rsidR="003175FF" w:rsidRPr="003175FF">
        <w:rPr>
          <w:rFonts w:ascii="Times New Roman" w:eastAsia="Times New Roman" w:hAnsi="Times New Roman" w:cs="Times New Roman"/>
          <w:i/>
          <w:iCs/>
          <w:lang w:eastAsia="es-ES_tradnl"/>
        </w:rPr>
        <w:t>fabula</w:t>
      </w:r>
      <w:proofErr w:type="spellEnd"/>
      <w:r w:rsidR="003175FF" w:rsidRPr="003175FF">
        <w:rPr>
          <w:rFonts w:ascii="Times New Roman" w:eastAsia="Times New Roman" w:hAnsi="Times New Roman" w:cs="Times New Roman"/>
          <w:i/>
          <w:iCs/>
          <w:lang w:eastAsia="es-ES_tradnl"/>
        </w:rPr>
        <w:t xml:space="preserve"> de la ciudad creativa</w:t>
      </w:r>
      <w:r w:rsidR="003175FF">
        <w:rPr>
          <w:rFonts w:ascii="Times New Roman" w:eastAsia="Times New Roman" w:hAnsi="Times New Roman" w:cs="Times New Roman"/>
          <w:lang w:eastAsia="es-ES_tradnl"/>
        </w:rPr>
        <w:t xml:space="preserve"> (2020).</w:t>
      </w:r>
    </w:p>
    <w:p w14:paraId="72FB15D7" w14:textId="77777777" w:rsidR="001733F2" w:rsidRPr="001733F2" w:rsidRDefault="001733F2" w:rsidP="001733F2">
      <w:pPr>
        <w:spacing w:before="100" w:beforeAutospacing="1" w:after="100" w:afterAutospacing="1"/>
        <w:rPr>
          <w:rFonts w:ascii="Times New Roman" w:eastAsia="Times New Roman" w:hAnsi="Times New Roman" w:cs="Times New Roman"/>
          <w:lang w:eastAsia="es-ES_tradnl"/>
        </w:rPr>
      </w:pPr>
      <w:r w:rsidRPr="001733F2">
        <w:rPr>
          <w:rFonts w:ascii="Times New Roman" w:eastAsia="Times New Roman" w:hAnsi="Times New Roman" w:cs="Times New Roman"/>
          <w:lang w:eastAsia="es-ES_tradnl"/>
        </w:rPr>
        <w:lastRenderedPageBreak/>
        <w:t>En el contexto madrileño, observamos cómo las políticas neoliberales se articulan para desarrollar "distritos culturales y creativos" en barrios históricamente vulnerables o de clase trabajadora. Los medios de comunicación y los promotores inmobiliarios introducen con frecuencia mitologías comparativas de lugar a través del tropo del "nuevo Brooklyn". Esta narrativa funciona como un guion de gentrificación global que borra la especificidad local, reinterpreta el barrio para el consumo externo y prepara el terreno para la especulación. Ante este escenario, nuestra investigación busca responder a una pregunta fundamental: ¿De qué manera el tipo de entidad cultural determina su impacto en el territorio y en las dinámicas de exclusión o cohesión social?</w:t>
      </w:r>
    </w:p>
    <w:p w14:paraId="2581CFF2" w14:textId="77777777" w:rsidR="001733F2" w:rsidRPr="001733F2" w:rsidRDefault="001733F2" w:rsidP="001733F2">
      <w:pPr>
        <w:spacing w:before="100" w:beforeAutospacing="1" w:after="100" w:afterAutospacing="1"/>
        <w:outlineLvl w:val="2"/>
        <w:rPr>
          <w:rFonts w:ascii="Times New Roman" w:eastAsia="Times New Roman" w:hAnsi="Times New Roman" w:cs="Times New Roman"/>
          <w:b/>
          <w:bCs/>
          <w:sz w:val="27"/>
          <w:szCs w:val="27"/>
          <w:lang w:eastAsia="es-ES_tradnl"/>
        </w:rPr>
      </w:pPr>
      <w:r w:rsidRPr="001733F2">
        <w:rPr>
          <w:rFonts w:ascii="Times New Roman" w:eastAsia="Times New Roman" w:hAnsi="Times New Roman" w:cs="Times New Roman"/>
          <w:b/>
          <w:bCs/>
          <w:sz w:val="27"/>
          <w:szCs w:val="27"/>
          <w:lang w:eastAsia="es-ES_tradnl"/>
        </w:rPr>
        <w:t>2) Planteamiento teórico-metodológico</w:t>
      </w:r>
    </w:p>
    <w:p w14:paraId="00132D8B" w14:textId="77777777" w:rsidR="001733F2" w:rsidRPr="001733F2" w:rsidRDefault="001733F2" w:rsidP="001733F2">
      <w:pPr>
        <w:spacing w:before="100" w:beforeAutospacing="1" w:after="100" w:afterAutospacing="1"/>
        <w:rPr>
          <w:rFonts w:ascii="Times New Roman" w:eastAsia="Times New Roman" w:hAnsi="Times New Roman" w:cs="Times New Roman"/>
          <w:lang w:eastAsia="es-ES_tradnl"/>
        </w:rPr>
      </w:pPr>
      <w:r w:rsidRPr="001733F2">
        <w:rPr>
          <w:rFonts w:ascii="Times New Roman" w:eastAsia="Times New Roman" w:hAnsi="Times New Roman" w:cs="Times New Roman"/>
          <w:lang w:eastAsia="es-ES_tradnl"/>
        </w:rPr>
        <w:t xml:space="preserve">El marco teórico de esta investigación se asienta en la sociología urbana crítica, entendiendo la cultura no como un elemento neutro, sino como un campo de disputa atravesado por el capital y el poder. Siguiendo a </w:t>
      </w:r>
      <w:proofErr w:type="spellStart"/>
      <w:r w:rsidRPr="001733F2">
        <w:rPr>
          <w:rFonts w:ascii="Times New Roman" w:eastAsia="Times New Roman" w:hAnsi="Times New Roman" w:cs="Times New Roman"/>
          <w:lang w:eastAsia="es-ES_tradnl"/>
        </w:rPr>
        <w:t>Zukin</w:t>
      </w:r>
      <w:proofErr w:type="spellEnd"/>
      <w:r w:rsidRPr="001733F2">
        <w:rPr>
          <w:rFonts w:ascii="Times New Roman" w:eastAsia="Times New Roman" w:hAnsi="Times New Roman" w:cs="Times New Roman"/>
          <w:lang w:eastAsia="es-ES_tradnl"/>
        </w:rPr>
        <w:t xml:space="preserve"> (1987), partimos de la premisa de que la cultura y el capital se entrelazan en el núcleo urbano, donde las intervenciones estéticas y la vitalidad cultural son objeto de nuevos "procesos de interpretación". Es decir, las prácticas culturales son leídas y decodificadas por actores externos como marcadores de "autenticidad" y estilo de vida. Esta interpretación mercantilizada alimenta las brechas de renta (</w:t>
      </w:r>
      <w:proofErr w:type="spellStart"/>
      <w:r w:rsidRPr="001733F2">
        <w:rPr>
          <w:rFonts w:ascii="Times New Roman" w:eastAsia="Times New Roman" w:hAnsi="Times New Roman" w:cs="Times New Roman"/>
          <w:i/>
          <w:iCs/>
          <w:lang w:eastAsia="es-ES_tradnl"/>
        </w:rPr>
        <w:t>rent</w:t>
      </w:r>
      <w:proofErr w:type="spellEnd"/>
      <w:r w:rsidRPr="001733F2">
        <w:rPr>
          <w:rFonts w:ascii="Times New Roman" w:eastAsia="Times New Roman" w:hAnsi="Times New Roman" w:cs="Times New Roman"/>
          <w:i/>
          <w:iCs/>
          <w:lang w:eastAsia="es-ES_tradnl"/>
        </w:rPr>
        <w:t xml:space="preserve"> gaps</w:t>
      </w:r>
      <w:r w:rsidRPr="001733F2">
        <w:rPr>
          <w:rFonts w:ascii="Times New Roman" w:eastAsia="Times New Roman" w:hAnsi="Times New Roman" w:cs="Times New Roman"/>
          <w:lang w:eastAsia="es-ES_tradnl"/>
        </w:rPr>
        <w:t xml:space="preserve">) y acelera los procesos de gentrificación simbólica y material (Lees, </w:t>
      </w:r>
      <w:proofErr w:type="spellStart"/>
      <w:r w:rsidRPr="001733F2">
        <w:rPr>
          <w:rFonts w:ascii="Times New Roman" w:eastAsia="Times New Roman" w:hAnsi="Times New Roman" w:cs="Times New Roman"/>
          <w:lang w:eastAsia="es-ES_tradnl"/>
        </w:rPr>
        <w:t>Slater</w:t>
      </w:r>
      <w:proofErr w:type="spellEnd"/>
      <w:r w:rsidRPr="001733F2">
        <w:rPr>
          <w:rFonts w:ascii="Times New Roman" w:eastAsia="Times New Roman" w:hAnsi="Times New Roman" w:cs="Times New Roman"/>
          <w:lang w:eastAsia="es-ES_tradnl"/>
        </w:rPr>
        <w:t xml:space="preserve"> &amp; </w:t>
      </w:r>
      <w:proofErr w:type="spellStart"/>
      <w:r w:rsidRPr="001733F2">
        <w:rPr>
          <w:rFonts w:ascii="Times New Roman" w:eastAsia="Times New Roman" w:hAnsi="Times New Roman" w:cs="Times New Roman"/>
          <w:lang w:eastAsia="es-ES_tradnl"/>
        </w:rPr>
        <w:t>Wyly</w:t>
      </w:r>
      <w:proofErr w:type="spellEnd"/>
      <w:r w:rsidRPr="001733F2">
        <w:rPr>
          <w:rFonts w:ascii="Times New Roman" w:eastAsia="Times New Roman" w:hAnsi="Times New Roman" w:cs="Times New Roman"/>
          <w:lang w:eastAsia="es-ES_tradnl"/>
        </w:rPr>
        <w:t>, 2008).</w:t>
      </w:r>
    </w:p>
    <w:p w14:paraId="7AC6CA91" w14:textId="77777777" w:rsidR="001733F2" w:rsidRPr="001733F2" w:rsidRDefault="001733F2" w:rsidP="001733F2">
      <w:pPr>
        <w:spacing w:before="100" w:beforeAutospacing="1" w:after="100" w:afterAutospacing="1"/>
        <w:rPr>
          <w:rFonts w:ascii="Times New Roman" w:eastAsia="Times New Roman" w:hAnsi="Times New Roman" w:cs="Times New Roman"/>
          <w:lang w:eastAsia="es-ES_tradnl"/>
        </w:rPr>
      </w:pPr>
      <w:r w:rsidRPr="001733F2">
        <w:rPr>
          <w:rFonts w:ascii="Times New Roman" w:eastAsia="Times New Roman" w:hAnsi="Times New Roman" w:cs="Times New Roman"/>
          <w:lang w:eastAsia="es-ES_tradnl"/>
        </w:rPr>
        <w:t xml:space="preserve">Asimismo, nos apoyamos en los debates recientes sobre la </w:t>
      </w:r>
      <w:proofErr w:type="spellStart"/>
      <w:r w:rsidRPr="001733F2">
        <w:rPr>
          <w:rFonts w:ascii="Times New Roman" w:eastAsia="Times New Roman" w:hAnsi="Times New Roman" w:cs="Times New Roman"/>
          <w:lang w:eastAsia="es-ES_tradnl"/>
        </w:rPr>
        <w:t>turistificación</w:t>
      </w:r>
      <w:proofErr w:type="spellEnd"/>
      <w:r w:rsidRPr="001733F2">
        <w:rPr>
          <w:rFonts w:ascii="Times New Roman" w:eastAsia="Times New Roman" w:hAnsi="Times New Roman" w:cs="Times New Roman"/>
          <w:lang w:eastAsia="es-ES_tradnl"/>
        </w:rPr>
        <w:t xml:space="preserve"> y los límites de la gentrificación (</w:t>
      </w:r>
      <w:proofErr w:type="spellStart"/>
      <w:r w:rsidRPr="001733F2">
        <w:rPr>
          <w:rFonts w:ascii="Times New Roman" w:eastAsia="Times New Roman" w:hAnsi="Times New Roman" w:cs="Times New Roman"/>
          <w:lang w:eastAsia="es-ES_tradnl"/>
        </w:rPr>
        <w:t>Sequera</w:t>
      </w:r>
      <w:proofErr w:type="spellEnd"/>
      <w:r w:rsidRPr="001733F2">
        <w:rPr>
          <w:rFonts w:ascii="Times New Roman" w:eastAsia="Times New Roman" w:hAnsi="Times New Roman" w:cs="Times New Roman"/>
          <w:lang w:eastAsia="es-ES_tradnl"/>
        </w:rPr>
        <w:t xml:space="preserve"> y </w:t>
      </w:r>
      <w:proofErr w:type="spellStart"/>
      <w:r w:rsidRPr="001733F2">
        <w:rPr>
          <w:rFonts w:ascii="Times New Roman" w:eastAsia="Times New Roman" w:hAnsi="Times New Roman" w:cs="Times New Roman"/>
          <w:lang w:eastAsia="es-ES_tradnl"/>
        </w:rPr>
        <w:t>Nofre</w:t>
      </w:r>
      <w:proofErr w:type="spellEnd"/>
      <w:r w:rsidRPr="001733F2">
        <w:rPr>
          <w:rFonts w:ascii="Times New Roman" w:eastAsia="Times New Roman" w:hAnsi="Times New Roman" w:cs="Times New Roman"/>
          <w:lang w:eastAsia="es-ES_tradnl"/>
        </w:rPr>
        <w:t xml:space="preserve">, 2020), así como en el concepto de "capitalismo </w:t>
      </w:r>
      <w:proofErr w:type="spellStart"/>
      <w:r w:rsidRPr="001733F2">
        <w:rPr>
          <w:rFonts w:ascii="Times New Roman" w:eastAsia="Times New Roman" w:hAnsi="Times New Roman" w:cs="Times New Roman"/>
          <w:lang w:eastAsia="es-ES_tradnl"/>
        </w:rPr>
        <w:t>cool</w:t>
      </w:r>
      <w:proofErr w:type="spellEnd"/>
      <w:r w:rsidRPr="001733F2">
        <w:rPr>
          <w:rFonts w:ascii="Times New Roman" w:eastAsia="Times New Roman" w:hAnsi="Times New Roman" w:cs="Times New Roman"/>
          <w:lang w:eastAsia="es-ES_tradnl"/>
        </w:rPr>
        <w:t>" y el control del espacio urbano (</w:t>
      </w:r>
      <w:proofErr w:type="spellStart"/>
      <w:r w:rsidRPr="001733F2">
        <w:rPr>
          <w:rFonts w:ascii="Times New Roman" w:eastAsia="Times New Roman" w:hAnsi="Times New Roman" w:cs="Times New Roman"/>
          <w:lang w:eastAsia="es-ES_tradnl"/>
        </w:rPr>
        <w:t>Sequera</w:t>
      </w:r>
      <w:proofErr w:type="spellEnd"/>
      <w:r w:rsidRPr="001733F2">
        <w:rPr>
          <w:rFonts w:ascii="Times New Roman" w:eastAsia="Times New Roman" w:hAnsi="Times New Roman" w:cs="Times New Roman"/>
          <w:lang w:eastAsia="es-ES_tradnl"/>
        </w:rPr>
        <w:t>, 2025). Desde esta perspectiva, la tipología de los LCP es clave para entender su impacto: algunas entidades surgen de profundas raíces asociativas, creando espacios para los cuidados y orientándose a las necesidades de la población local; otras infraestructuras (públicas o privadas) contribuyen a la "mejora" (</w:t>
      </w:r>
      <w:proofErr w:type="spellStart"/>
      <w:r w:rsidRPr="001733F2">
        <w:rPr>
          <w:rFonts w:ascii="Times New Roman" w:eastAsia="Times New Roman" w:hAnsi="Times New Roman" w:cs="Times New Roman"/>
          <w:i/>
          <w:iCs/>
          <w:lang w:eastAsia="es-ES_tradnl"/>
        </w:rPr>
        <w:t>upgrading</w:t>
      </w:r>
      <w:proofErr w:type="spellEnd"/>
      <w:r w:rsidRPr="001733F2">
        <w:rPr>
          <w:rFonts w:ascii="Times New Roman" w:eastAsia="Times New Roman" w:hAnsi="Times New Roman" w:cs="Times New Roman"/>
          <w:lang w:eastAsia="es-ES_tradnl"/>
        </w:rPr>
        <w:t>) del barrio, atrayendo inversiones, elevando el valor del suelo y desplazando a las poblaciones vulnerables al cambiar la percepción y el uso del territorio.</w:t>
      </w:r>
    </w:p>
    <w:p w14:paraId="375608CD" w14:textId="77777777" w:rsidR="001733F2" w:rsidRPr="001733F2" w:rsidRDefault="001733F2" w:rsidP="001733F2">
      <w:pPr>
        <w:spacing w:before="100" w:beforeAutospacing="1" w:after="100" w:afterAutospacing="1"/>
        <w:rPr>
          <w:rFonts w:ascii="Times New Roman" w:eastAsia="Times New Roman" w:hAnsi="Times New Roman" w:cs="Times New Roman"/>
          <w:lang w:eastAsia="es-ES_tradnl"/>
        </w:rPr>
      </w:pPr>
      <w:r w:rsidRPr="001733F2">
        <w:rPr>
          <w:rFonts w:ascii="Times New Roman" w:eastAsia="Times New Roman" w:hAnsi="Times New Roman" w:cs="Times New Roman"/>
          <w:lang w:eastAsia="es-ES_tradnl"/>
        </w:rPr>
        <w:t xml:space="preserve">Para abordar esta complejidad, la investigación adopta una </w:t>
      </w:r>
      <w:r w:rsidRPr="003175FF">
        <w:rPr>
          <w:rFonts w:ascii="Times New Roman" w:eastAsia="Times New Roman" w:hAnsi="Times New Roman" w:cs="Times New Roman"/>
          <w:lang w:eastAsia="es-ES_tradnl"/>
        </w:rPr>
        <w:t>metodología cuantitativa,</w:t>
      </w:r>
      <w:r w:rsidRPr="001733F2">
        <w:rPr>
          <w:rFonts w:ascii="Times New Roman" w:eastAsia="Times New Roman" w:hAnsi="Times New Roman" w:cs="Times New Roman"/>
          <w:lang w:eastAsia="es-ES_tradnl"/>
        </w:rPr>
        <w:t xml:space="preserve"> un enfoque que permite medir con precisión el impacto diferencial de estas entidades en el tejido urbano. Se ha diseñado un sistema de indicadores que cruza variables de actividad cultural (afluencia, tipo de programación, redes de colaboración) con variables sociodemográficas y del mercado inmobiliario (evolución del precio del alquiler, compraventa, tasas de desplazamiento y perfiles de renta) en las áreas de influencia de las entidades estudiadas.</w:t>
      </w:r>
    </w:p>
    <w:p w14:paraId="7A9C65C7" w14:textId="77777777" w:rsidR="001733F2" w:rsidRPr="001733F2" w:rsidRDefault="001733F2" w:rsidP="001733F2">
      <w:pPr>
        <w:spacing w:before="100" w:beforeAutospacing="1" w:after="100" w:afterAutospacing="1"/>
        <w:rPr>
          <w:rFonts w:ascii="Times New Roman" w:eastAsia="Times New Roman" w:hAnsi="Times New Roman" w:cs="Times New Roman"/>
          <w:lang w:eastAsia="es-ES_tradnl"/>
        </w:rPr>
      </w:pPr>
      <w:r w:rsidRPr="001733F2">
        <w:rPr>
          <w:rFonts w:ascii="Times New Roman" w:eastAsia="Times New Roman" w:hAnsi="Times New Roman" w:cs="Times New Roman"/>
          <w:lang w:eastAsia="es-ES_tradnl"/>
        </w:rPr>
        <w:t xml:space="preserve">La muestra se compone </w:t>
      </w:r>
      <w:r w:rsidRPr="003175FF">
        <w:rPr>
          <w:rFonts w:ascii="Times New Roman" w:eastAsia="Times New Roman" w:hAnsi="Times New Roman" w:cs="Times New Roman"/>
          <w:lang w:eastAsia="es-ES_tradnl"/>
        </w:rPr>
        <w:t>de 15 entidades culturales</w:t>
      </w:r>
      <w:r w:rsidRPr="001733F2">
        <w:rPr>
          <w:rFonts w:ascii="Times New Roman" w:eastAsia="Times New Roman" w:hAnsi="Times New Roman" w:cs="Times New Roman"/>
          <w:lang w:eastAsia="es-ES_tradnl"/>
        </w:rPr>
        <w:t xml:space="preserve"> (</w:t>
      </w:r>
      <w:r w:rsidRPr="001733F2">
        <w:rPr>
          <w:rFonts w:ascii="Times New Roman" w:eastAsia="Times New Roman" w:hAnsi="Times New Roman" w:cs="Times New Roman"/>
          <w:i/>
          <w:iCs/>
          <w:lang w:eastAsia="es-ES_tradnl"/>
        </w:rPr>
        <w:t xml:space="preserve">Local Cultural </w:t>
      </w:r>
      <w:proofErr w:type="spellStart"/>
      <w:r w:rsidRPr="001733F2">
        <w:rPr>
          <w:rFonts w:ascii="Times New Roman" w:eastAsia="Times New Roman" w:hAnsi="Times New Roman" w:cs="Times New Roman"/>
          <w:i/>
          <w:iCs/>
          <w:lang w:eastAsia="es-ES_tradnl"/>
        </w:rPr>
        <w:t>Praesidia</w:t>
      </w:r>
      <w:proofErr w:type="spellEnd"/>
      <w:r w:rsidRPr="001733F2">
        <w:rPr>
          <w:rFonts w:ascii="Times New Roman" w:eastAsia="Times New Roman" w:hAnsi="Times New Roman" w:cs="Times New Roman"/>
          <w:lang w:eastAsia="es-ES_tradnl"/>
        </w:rPr>
        <w:t>) cuidadosamente seleccionadas para representar una tipología diversa:</w:t>
      </w:r>
    </w:p>
    <w:p w14:paraId="5CF9842B" w14:textId="0957A3A4" w:rsidR="001733F2" w:rsidRPr="003175FF" w:rsidRDefault="001733F2" w:rsidP="001733F2">
      <w:pPr>
        <w:numPr>
          <w:ilvl w:val="0"/>
          <w:numId w:val="1"/>
        </w:numPr>
        <w:spacing w:before="100" w:beforeAutospacing="1" w:after="100" w:afterAutospacing="1"/>
        <w:rPr>
          <w:rFonts w:ascii="Times New Roman" w:eastAsia="Times New Roman" w:hAnsi="Times New Roman" w:cs="Times New Roman"/>
          <w:lang w:eastAsia="es-ES_tradnl"/>
        </w:rPr>
      </w:pPr>
      <w:r w:rsidRPr="003175FF">
        <w:rPr>
          <w:rFonts w:ascii="Times New Roman" w:eastAsia="Times New Roman" w:hAnsi="Times New Roman" w:cs="Times New Roman"/>
          <w:lang w:eastAsia="es-ES_tradnl"/>
        </w:rPr>
        <w:t xml:space="preserve">Instituciones públicas de </w:t>
      </w:r>
      <w:r w:rsidR="003175FF" w:rsidRPr="003175FF">
        <w:rPr>
          <w:rFonts w:ascii="Times New Roman" w:eastAsia="Times New Roman" w:hAnsi="Times New Roman" w:cs="Times New Roman"/>
          <w:lang w:eastAsia="es-ES_tradnl"/>
        </w:rPr>
        <w:t>escala ciudad públicos y privados</w:t>
      </w:r>
      <w:r w:rsidRPr="003175FF">
        <w:rPr>
          <w:rFonts w:ascii="Times New Roman" w:eastAsia="Times New Roman" w:hAnsi="Times New Roman" w:cs="Times New Roman"/>
          <w:lang w:eastAsia="es-ES_tradnl"/>
        </w:rPr>
        <w:t xml:space="preserve"> </w:t>
      </w:r>
    </w:p>
    <w:p w14:paraId="6B504FA4" w14:textId="022D86E6" w:rsidR="001733F2" w:rsidRPr="003175FF" w:rsidRDefault="001733F2" w:rsidP="001733F2">
      <w:pPr>
        <w:numPr>
          <w:ilvl w:val="0"/>
          <w:numId w:val="1"/>
        </w:numPr>
        <w:spacing w:before="100" w:beforeAutospacing="1" w:after="100" w:afterAutospacing="1"/>
        <w:rPr>
          <w:rFonts w:ascii="Times New Roman" w:eastAsia="Times New Roman" w:hAnsi="Times New Roman" w:cs="Times New Roman"/>
          <w:lang w:eastAsia="es-ES_tradnl"/>
        </w:rPr>
      </w:pPr>
      <w:r w:rsidRPr="003175FF">
        <w:rPr>
          <w:rFonts w:ascii="Times New Roman" w:eastAsia="Times New Roman" w:hAnsi="Times New Roman" w:cs="Times New Roman"/>
          <w:lang w:eastAsia="es-ES_tradnl"/>
        </w:rPr>
        <w:t xml:space="preserve">Equipamientos públicos de proximidad  </w:t>
      </w:r>
    </w:p>
    <w:p w14:paraId="030C479C" w14:textId="4C44E024" w:rsidR="001733F2" w:rsidRPr="003175FF" w:rsidRDefault="001733F2" w:rsidP="001733F2">
      <w:pPr>
        <w:numPr>
          <w:ilvl w:val="0"/>
          <w:numId w:val="1"/>
        </w:numPr>
        <w:spacing w:before="100" w:beforeAutospacing="1" w:after="100" w:afterAutospacing="1"/>
        <w:rPr>
          <w:rFonts w:ascii="Times New Roman" w:eastAsia="Times New Roman" w:hAnsi="Times New Roman" w:cs="Times New Roman"/>
          <w:lang w:eastAsia="es-ES_tradnl"/>
        </w:rPr>
      </w:pPr>
      <w:r w:rsidRPr="003175FF">
        <w:rPr>
          <w:rFonts w:ascii="Times New Roman" w:eastAsia="Times New Roman" w:hAnsi="Times New Roman" w:cs="Times New Roman"/>
          <w:lang w:eastAsia="es-ES_tradnl"/>
        </w:rPr>
        <w:t>Entidades vecinales y centros so</w:t>
      </w:r>
      <w:r w:rsidR="003175FF" w:rsidRPr="003175FF">
        <w:rPr>
          <w:rFonts w:ascii="Times New Roman" w:eastAsia="Times New Roman" w:hAnsi="Times New Roman" w:cs="Times New Roman"/>
          <w:lang w:eastAsia="es-ES_tradnl"/>
        </w:rPr>
        <w:t>ciales</w:t>
      </w:r>
    </w:p>
    <w:p w14:paraId="0923D6E9" w14:textId="77777777" w:rsidR="001733F2" w:rsidRPr="003175FF" w:rsidRDefault="001733F2" w:rsidP="001733F2">
      <w:pPr>
        <w:numPr>
          <w:ilvl w:val="0"/>
          <w:numId w:val="1"/>
        </w:numPr>
        <w:spacing w:before="100" w:beforeAutospacing="1" w:after="100" w:afterAutospacing="1"/>
        <w:rPr>
          <w:rFonts w:ascii="Times New Roman" w:eastAsia="Times New Roman" w:hAnsi="Times New Roman" w:cs="Times New Roman"/>
          <w:lang w:eastAsia="es-ES_tradnl"/>
        </w:rPr>
      </w:pPr>
      <w:r w:rsidRPr="003175FF">
        <w:rPr>
          <w:rFonts w:ascii="Times New Roman" w:eastAsia="Times New Roman" w:hAnsi="Times New Roman" w:cs="Times New Roman"/>
          <w:lang w:eastAsia="es-ES_tradnl"/>
        </w:rPr>
        <w:t>Colectivos artísticos y galerías independientes.</w:t>
      </w:r>
    </w:p>
    <w:p w14:paraId="3EF854B5" w14:textId="3670E0F1" w:rsidR="001733F2" w:rsidRPr="003175FF" w:rsidRDefault="001733F2" w:rsidP="001733F2">
      <w:pPr>
        <w:spacing w:before="100" w:beforeAutospacing="1" w:after="100" w:afterAutospacing="1"/>
        <w:rPr>
          <w:rFonts w:ascii="Times New Roman" w:eastAsia="Times New Roman" w:hAnsi="Times New Roman" w:cs="Times New Roman"/>
          <w:lang w:eastAsia="es-ES_tradnl"/>
        </w:rPr>
      </w:pPr>
      <w:r w:rsidRPr="001733F2">
        <w:rPr>
          <w:rFonts w:ascii="Times New Roman" w:eastAsia="Times New Roman" w:hAnsi="Times New Roman" w:cs="Times New Roman"/>
          <w:lang w:eastAsia="es-ES_tradnl"/>
        </w:rPr>
        <w:lastRenderedPageBreak/>
        <w:t xml:space="preserve">El ámbito territorial del estudio abarca áreas de Madrid sometidas a distintas presiones especulativas. Se </w:t>
      </w:r>
      <w:r w:rsidR="003175FF">
        <w:rPr>
          <w:rFonts w:ascii="Times New Roman" w:eastAsia="Times New Roman" w:hAnsi="Times New Roman" w:cs="Times New Roman"/>
          <w:lang w:eastAsia="es-ES_tradnl"/>
        </w:rPr>
        <w:t>van a analizar</w:t>
      </w:r>
      <w:r w:rsidRPr="001733F2">
        <w:rPr>
          <w:rFonts w:ascii="Times New Roman" w:eastAsia="Times New Roman" w:hAnsi="Times New Roman" w:cs="Times New Roman"/>
          <w:lang w:eastAsia="es-ES_tradnl"/>
        </w:rPr>
        <w:t xml:space="preserve"> de forma integral </w:t>
      </w:r>
      <w:r w:rsidRPr="003175FF">
        <w:rPr>
          <w:rFonts w:ascii="Times New Roman" w:eastAsia="Times New Roman" w:hAnsi="Times New Roman" w:cs="Times New Roman"/>
          <w:lang w:eastAsia="es-ES_tradnl"/>
        </w:rPr>
        <w:t>dos distritos completos (Tetuán y Centro), y secciones censales específicas de otros c</w:t>
      </w:r>
      <w:r w:rsidR="003175FF">
        <w:rPr>
          <w:rFonts w:ascii="Times New Roman" w:eastAsia="Times New Roman" w:hAnsi="Times New Roman" w:cs="Times New Roman"/>
          <w:lang w:eastAsia="es-ES_tradnl"/>
        </w:rPr>
        <w:t>inco</w:t>
      </w:r>
      <w:r w:rsidRPr="003175FF">
        <w:rPr>
          <w:rFonts w:ascii="Times New Roman" w:eastAsia="Times New Roman" w:hAnsi="Times New Roman" w:cs="Times New Roman"/>
          <w:lang w:eastAsia="es-ES_tradnl"/>
        </w:rPr>
        <w:t xml:space="preserve"> territorios (Aluche, </w:t>
      </w:r>
      <w:r w:rsidR="003175FF">
        <w:rPr>
          <w:rFonts w:ascii="Times New Roman" w:eastAsia="Times New Roman" w:hAnsi="Times New Roman" w:cs="Times New Roman"/>
          <w:lang w:eastAsia="es-ES_tradnl"/>
        </w:rPr>
        <w:t xml:space="preserve">Arganzuela, </w:t>
      </w:r>
      <w:r w:rsidRPr="003175FF">
        <w:rPr>
          <w:rFonts w:ascii="Times New Roman" w:eastAsia="Times New Roman" w:hAnsi="Times New Roman" w:cs="Times New Roman"/>
          <w:lang w:eastAsia="es-ES_tradnl"/>
        </w:rPr>
        <w:t>Carabanchel, Latina y Villaverde)</w:t>
      </w:r>
      <w:r w:rsidR="003175FF">
        <w:rPr>
          <w:rFonts w:ascii="Times New Roman" w:eastAsia="Times New Roman" w:hAnsi="Times New Roman" w:cs="Times New Roman"/>
          <w:lang w:eastAsia="es-ES_tradnl"/>
        </w:rPr>
        <w:t>, constituyendo un “corredor cultural” a lo largo del rio Manzanares.</w:t>
      </w:r>
    </w:p>
    <w:p w14:paraId="57D666BB" w14:textId="77777777" w:rsidR="001733F2" w:rsidRPr="001733F2" w:rsidRDefault="001733F2" w:rsidP="001733F2">
      <w:pPr>
        <w:spacing w:before="100" w:beforeAutospacing="1" w:after="100" w:afterAutospacing="1"/>
        <w:outlineLvl w:val="2"/>
        <w:rPr>
          <w:rFonts w:ascii="Times New Roman" w:eastAsia="Times New Roman" w:hAnsi="Times New Roman" w:cs="Times New Roman"/>
          <w:b/>
          <w:bCs/>
          <w:sz w:val="27"/>
          <w:szCs w:val="27"/>
          <w:lang w:eastAsia="es-ES_tradnl"/>
        </w:rPr>
      </w:pPr>
      <w:r w:rsidRPr="001733F2">
        <w:rPr>
          <w:rFonts w:ascii="Times New Roman" w:eastAsia="Times New Roman" w:hAnsi="Times New Roman" w:cs="Times New Roman"/>
          <w:b/>
          <w:bCs/>
          <w:sz w:val="27"/>
          <w:szCs w:val="27"/>
          <w:lang w:eastAsia="es-ES_tradnl"/>
        </w:rPr>
        <w:t>3) Resultados: principales aportaciones, resultados y conclusiones</w:t>
      </w:r>
    </w:p>
    <w:p w14:paraId="572FED52" w14:textId="77777777" w:rsidR="001733F2" w:rsidRPr="001733F2" w:rsidRDefault="001733F2" w:rsidP="001733F2">
      <w:pPr>
        <w:spacing w:before="100" w:beforeAutospacing="1" w:after="100" w:afterAutospacing="1"/>
        <w:rPr>
          <w:rFonts w:ascii="Times New Roman" w:eastAsia="Times New Roman" w:hAnsi="Times New Roman" w:cs="Times New Roman"/>
          <w:lang w:eastAsia="es-ES_tradnl"/>
        </w:rPr>
      </w:pPr>
      <w:r w:rsidRPr="001733F2">
        <w:rPr>
          <w:rFonts w:ascii="Times New Roman" w:eastAsia="Times New Roman" w:hAnsi="Times New Roman" w:cs="Times New Roman"/>
          <w:lang w:eastAsia="es-ES_tradnl"/>
        </w:rPr>
        <w:t xml:space="preserve">Los resultados preliminares del proyecto </w:t>
      </w:r>
      <w:proofErr w:type="spellStart"/>
      <w:r w:rsidRPr="001733F2">
        <w:rPr>
          <w:rFonts w:ascii="Times New Roman" w:eastAsia="Times New Roman" w:hAnsi="Times New Roman" w:cs="Times New Roman"/>
          <w:lang w:eastAsia="es-ES_tradnl"/>
        </w:rPr>
        <w:t>Horizon</w:t>
      </w:r>
      <w:proofErr w:type="spellEnd"/>
      <w:r w:rsidRPr="001733F2">
        <w:rPr>
          <w:rFonts w:ascii="Times New Roman" w:eastAsia="Times New Roman" w:hAnsi="Times New Roman" w:cs="Times New Roman"/>
          <w:lang w:eastAsia="es-ES_tradnl"/>
        </w:rPr>
        <w:t xml:space="preserve"> START UP revelan que la tipología del LCP es el factor determinante en su impacto territorial. La principal aportación de esta fase radica en la demostración cuantitativa de esta divergencia: </w:t>
      </w:r>
      <w:r w:rsidRPr="003175FF">
        <w:rPr>
          <w:rFonts w:ascii="Times New Roman" w:eastAsia="Times New Roman" w:hAnsi="Times New Roman" w:cs="Times New Roman"/>
          <w:lang w:eastAsia="es-ES_tradnl"/>
        </w:rPr>
        <w:t>los LCP no actúan de manera uniforme, sino que bifurcan el destino de los barrios según su naturaleza y el público al que interpelan.</w:t>
      </w:r>
    </w:p>
    <w:p w14:paraId="64B05760" w14:textId="77777777" w:rsidR="001733F2" w:rsidRPr="001733F2" w:rsidRDefault="001733F2" w:rsidP="001733F2">
      <w:pPr>
        <w:spacing w:before="100" w:beforeAutospacing="1" w:after="100" w:afterAutospacing="1"/>
        <w:rPr>
          <w:rFonts w:ascii="Times New Roman" w:eastAsia="Times New Roman" w:hAnsi="Times New Roman" w:cs="Times New Roman"/>
          <w:lang w:eastAsia="es-ES_tradnl"/>
        </w:rPr>
      </w:pPr>
      <w:r w:rsidRPr="001733F2">
        <w:rPr>
          <w:rFonts w:ascii="Times New Roman" w:eastAsia="Times New Roman" w:hAnsi="Times New Roman" w:cs="Times New Roman"/>
          <w:lang w:eastAsia="es-ES_tradnl"/>
        </w:rPr>
        <w:t xml:space="preserve">Por un lado, los datos indican que </w:t>
      </w:r>
      <w:r w:rsidRPr="003175FF">
        <w:rPr>
          <w:rFonts w:ascii="Times New Roman" w:eastAsia="Times New Roman" w:hAnsi="Times New Roman" w:cs="Times New Roman"/>
          <w:lang w:eastAsia="es-ES_tradnl"/>
        </w:rPr>
        <w:t>las instituciones públicas de gran escala (como Matadero) y los colectivos artísticos/galerías independientes</w:t>
      </w:r>
      <w:r w:rsidRPr="001733F2">
        <w:rPr>
          <w:rFonts w:ascii="Times New Roman" w:eastAsia="Times New Roman" w:hAnsi="Times New Roman" w:cs="Times New Roman"/>
          <w:lang w:eastAsia="es-ES_tradnl"/>
        </w:rPr>
        <w:t xml:space="preserve"> operan frecuentemente como catalizadores de nuevos procesos de interpretación espacial. En distritos como Carabanchel o Tetuán, la concentración de estas entidades correlaciona positivamente con la atracción de nuevos residentes de mayor poder adquisitivo y la llegada de inversiones inmobiliarias. Estas entidades son rápidamente asimiladas por el "capitalismo </w:t>
      </w:r>
      <w:proofErr w:type="spellStart"/>
      <w:r w:rsidRPr="001733F2">
        <w:rPr>
          <w:rFonts w:ascii="Times New Roman" w:eastAsia="Times New Roman" w:hAnsi="Times New Roman" w:cs="Times New Roman"/>
          <w:lang w:eastAsia="es-ES_tradnl"/>
        </w:rPr>
        <w:t>cool</w:t>
      </w:r>
      <w:proofErr w:type="spellEnd"/>
      <w:r w:rsidRPr="001733F2">
        <w:rPr>
          <w:rFonts w:ascii="Times New Roman" w:eastAsia="Times New Roman" w:hAnsi="Times New Roman" w:cs="Times New Roman"/>
          <w:lang w:eastAsia="es-ES_tradnl"/>
        </w:rPr>
        <w:t>" (</w:t>
      </w:r>
      <w:proofErr w:type="spellStart"/>
      <w:r w:rsidRPr="001733F2">
        <w:rPr>
          <w:rFonts w:ascii="Times New Roman" w:eastAsia="Times New Roman" w:hAnsi="Times New Roman" w:cs="Times New Roman"/>
          <w:lang w:eastAsia="es-ES_tradnl"/>
        </w:rPr>
        <w:t>Sequera</w:t>
      </w:r>
      <w:proofErr w:type="spellEnd"/>
      <w:r w:rsidRPr="001733F2">
        <w:rPr>
          <w:rFonts w:ascii="Times New Roman" w:eastAsia="Times New Roman" w:hAnsi="Times New Roman" w:cs="Times New Roman"/>
          <w:lang w:eastAsia="es-ES_tradnl"/>
        </w:rPr>
        <w:t>, 2025); su presencia reinterpreta el barrio obrero como un espacio "bohemio" o "vanguardista", señalando al capital financiero que el territorio es seguro y rentable, lo que se traduce en un aumento acelerado de los precios del alquiler en sus secciones censales adyacentes.</w:t>
      </w:r>
    </w:p>
    <w:p w14:paraId="5C14EFFD" w14:textId="77777777" w:rsidR="001733F2" w:rsidRPr="001733F2" w:rsidRDefault="001733F2" w:rsidP="001733F2">
      <w:pPr>
        <w:spacing w:before="100" w:beforeAutospacing="1" w:after="100" w:afterAutospacing="1"/>
        <w:rPr>
          <w:rFonts w:ascii="Times New Roman" w:eastAsia="Times New Roman" w:hAnsi="Times New Roman" w:cs="Times New Roman"/>
          <w:lang w:eastAsia="es-ES_tradnl"/>
        </w:rPr>
      </w:pPr>
      <w:r w:rsidRPr="001733F2">
        <w:rPr>
          <w:rFonts w:ascii="Times New Roman" w:eastAsia="Times New Roman" w:hAnsi="Times New Roman" w:cs="Times New Roman"/>
          <w:lang w:eastAsia="es-ES_tradnl"/>
        </w:rPr>
        <w:t xml:space="preserve">Por otro lado, los </w:t>
      </w:r>
      <w:r w:rsidRPr="001733F2">
        <w:rPr>
          <w:rFonts w:ascii="Times New Roman" w:eastAsia="Times New Roman" w:hAnsi="Times New Roman" w:cs="Times New Roman"/>
          <w:b/>
          <w:bCs/>
          <w:lang w:eastAsia="es-ES_tradnl"/>
        </w:rPr>
        <w:t>e</w:t>
      </w:r>
      <w:r w:rsidRPr="003175FF">
        <w:rPr>
          <w:rFonts w:ascii="Times New Roman" w:eastAsia="Times New Roman" w:hAnsi="Times New Roman" w:cs="Times New Roman"/>
          <w:lang w:eastAsia="es-ES_tradnl"/>
        </w:rPr>
        <w:t>quipamientos públicos de proximidad (como las bibliotecas) y las entidades vecinales</w:t>
      </w:r>
      <w:r w:rsidRPr="001733F2">
        <w:rPr>
          <w:rFonts w:ascii="Times New Roman" w:eastAsia="Times New Roman" w:hAnsi="Times New Roman" w:cs="Times New Roman"/>
          <w:lang w:eastAsia="es-ES_tradnl"/>
        </w:rPr>
        <w:t xml:space="preserve"> muestran un impacto radicalmente distinto, fuertemente orientado a la población local. Los indicadores cuantitativos sugieren que estas entidades funcionan como verdaderos </w:t>
      </w:r>
      <w:proofErr w:type="spellStart"/>
      <w:r w:rsidRPr="001733F2">
        <w:rPr>
          <w:rFonts w:ascii="Times New Roman" w:eastAsia="Times New Roman" w:hAnsi="Times New Roman" w:cs="Times New Roman"/>
          <w:i/>
          <w:iCs/>
          <w:lang w:eastAsia="es-ES_tradnl"/>
        </w:rPr>
        <w:t>praesidia</w:t>
      </w:r>
      <w:proofErr w:type="spellEnd"/>
      <w:r w:rsidRPr="001733F2">
        <w:rPr>
          <w:rFonts w:ascii="Times New Roman" w:eastAsia="Times New Roman" w:hAnsi="Times New Roman" w:cs="Times New Roman"/>
          <w:lang w:eastAsia="es-ES_tradnl"/>
        </w:rPr>
        <w:t xml:space="preserve"> (bastiones o refugios). Su presencia no genera picos especulativos ni atrae flujos masivos de inversión externa; por el contrario, correlaciona con mayores índices de retención de la población original y cohesión social. Estas entidades actúan como anclajes comunitarios que amortiguan los efectos del desplazamiento, proporcionando infraestructuras de cuidado y resistiendo a la reinterpretación mercantilista del barrio.</w:t>
      </w:r>
    </w:p>
    <w:p w14:paraId="2A47AF41" w14:textId="77777777" w:rsidR="001733F2" w:rsidRPr="001733F2" w:rsidRDefault="001733F2" w:rsidP="001733F2">
      <w:pPr>
        <w:spacing w:before="100" w:beforeAutospacing="1" w:after="100" w:afterAutospacing="1"/>
        <w:rPr>
          <w:rFonts w:ascii="Times New Roman" w:eastAsia="Times New Roman" w:hAnsi="Times New Roman" w:cs="Times New Roman"/>
          <w:lang w:eastAsia="es-ES_tradnl"/>
        </w:rPr>
      </w:pPr>
      <w:r w:rsidRPr="001733F2">
        <w:rPr>
          <w:rFonts w:ascii="Times New Roman" w:eastAsia="Times New Roman" w:hAnsi="Times New Roman" w:cs="Times New Roman"/>
          <w:lang w:eastAsia="es-ES_tradnl"/>
        </w:rPr>
        <w:t xml:space="preserve">En cuanto a la distribución territorial, el distrito Centro muestra un agotamiento del modelo, donde los LCP orientados a lo local luchan por sobrevivir frente a la presión </w:t>
      </w:r>
      <w:proofErr w:type="spellStart"/>
      <w:r w:rsidRPr="001733F2">
        <w:rPr>
          <w:rFonts w:ascii="Times New Roman" w:eastAsia="Times New Roman" w:hAnsi="Times New Roman" w:cs="Times New Roman"/>
          <w:lang w:eastAsia="es-ES_tradnl"/>
        </w:rPr>
        <w:t>turistificadora</w:t>
      </w:r>
      <w:proofErr w:type="spellEnd"/>
      <w:r w:rsidRPr="001733F2">
        <w:rPr>
          <w:rFonts w:ascii="Times New Roman" w:eastAsia="Times New Roman" w:hAnsi="Times New Roman" w:cs="Times New Roman"/>
          <w:lang w:eastAsia="es-ES_tradnl"/>
        </w:rPr>
        <w:t>. En Tetuán y Carabanchel se observa una fase activa de disputa, donde la narrativa del "nuevo Brooklyn" está atrayendo inversiones a través de los LCP artísticos. En zonas como Aluche, Latina y Villaverde, el impacto especulativo es aún incipiente, subrayando el papel preventivo de las entidades vecinales.</w:t>
      </w:r>
    </w:p>
    <w:p w14:paraId="1B1B0B23" w14:textId="77777777" w:rsidR="001733F2" w:rsidRPr="001733F2" w:rsidRDefault="001733F2" w:rsidP="001733F2">
      <w:pPr>
        <w:spacing w:before="100" w:beforeAutospacing="1" w:after="100" w:afterAutospacing="1"/>
        <w:rPr>
          <w:rFonts w:ascii="Times New Roman" w:eastAsia="Times New Roman" w:hAnsi="Times New Roman" w:cs="Times New Roman"/>
          <w:lang w:eastAsia="es-ES_tradnl"/>
        </w:rPr>
      </w:pPr>
      <w:r w:rsidRPr="001733F2">
        <w:rPr>
          <w:rFonts w:ascii="Times New Roman" w:eastAsia="Times New Roman" w:hAnsi="Times New Roman" w:cs="Times New Roman"/>
          <w:b/>
          <w:bCs/>
          <w:lang w:eastAsia="es-ES_tradnl"/>
        </w:rPr>
        <w:t>Conclusiones:</w:t>
      </w:r>
      <w:r w:rsidRPr="001733F2">
        <w:rPr>
          <w:rFonts w:ascii="Times New Roman" w:eastAsia="Times New Roman" w:hAnsi="Times New Roman" w:cs="Times New Roman"/>
          <w:lang w:eastAsia="es-ES_tradnl"/>
        </w:rPr>
        <w:br/>
        <w:t xml:space="preserve">A modo de conclusión, los datos preliminares del proyecto START UP demuestran que el impacto de la cultura en el territorio no es unívoco, sino que depende estrictamente del tipo de entidad y de los procesos de interpretación que esta genera a su alrededor. Mientras algunos LCP son fundamentales para el sostenimiento y cuidado de la población local, otros actúan como vectores de atracción para nuevos residentes y capitales, facilitando la gentrificación. Al situar a los </w:t>
      </w:r>
      <w:proofErr w:type="spellStart"/>
      <w:r w:rsidRPr="001733F2">
        <w:rPr>
          <w:rFonts w:ascii="Times New Roman" w:eastAsia="Times New Roman" w:hAnsi="Times New Roman" w:cs="Times New Roman"/>
          <w:i/>
          <w:iCs/>
          <w:lang w:eastAsia="es-ES_tradnl"/>
        </w:rPr>
        <w:t>praesidia</w:t>
      </w:r>
      <w:proofErr w:type="spellEnd"/>
      <w:r w:rsidRPr="001733F2">
        <w:rPr>
          <w:rFonts w:ascii="Times New Roman" w:eastAsia="Times New Roman" w:hAnsi="Times New Roman" w:cs="Times New Roman"/>
          <w:lang w:eastAsia="es-ES_tradnl"/>
        </w:rPr>
        <w:t xml:space="preserve"> dentro de las dinámicas socioespaciales de Madrid, este trabajo evidencia la necesidad de diseñar políticas urbanas que protejan y fomenten aquellas infraestructuras </w:t>
      </w:r>
      <w:r w:rsidRPr="001733F2">
        <w:rPr>
          <w:rFonts w:ascii="Times New Roman" w:eastAsia="Times New Roman" w:hAnsi="Times New Roman" w:cs="Times New Roman"/>
          <w:lang w:eastAsia="es-ES_tradnl"/>
        </w:rPr>
        <w:lastRenderedPageBreak/>
        <w:t>culturales orientadas al arraigo vecinal, frente a aquellas que, inadvertidamente, convierten la creatividad en una herramienta de expulsión.</w:t>
      </w:r>
    </w:p>
    <w:p w14:paraId="39A525B0" w14:textId="77777777" w:rsidR="00164DAC" w:rsidRDefault="00164DAC"/>
    <w:sectPr w:rsidR="00164DAC" w:rsidSect="00787928">
      <w:pgSz w:w="12240" w:h="15840"/>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D90CAA"/>
    <w:multiLevelType w:val="multilevel"/>
    <w:tmpl w:val="283AA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90038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4"/>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3F2"/>
    <w:rsid w:val="000004C1"/>
    <w:rsid w:val="000008CC"/>
    <w:rsid w:val="00005876"/>
    <w:rsid w:val="000064B1"/>
    <w:rsid w:val="00013BA9"/>
    <w:rsid w:val="00015215"/>
    <w:rsid w:val="000160BA"/>
    <w:rsid w:val="00027D16"/>
    <w:rsid w:val="00031656"/>
    <w:rsid w:val="00033E18"/>
    <w:rsid w:val="00035157"/>
    <w:rsid w:val="00035943"/>
    <w:rsid w:val="000362E9"/>
    <w:rsid w:val="0003653D"/>
    <w:rsid w:val="00040149"/>
    <w:rsid w:val="00040CE0"/>
    <w:rsid w:val="000413AD"/>
    <w:rsid w:val="00050AF0"/>
    <w:rsid w:val="0005113D"/>
    <w:rsid w:val="00051E7B"/>
    <w:rsid w:val="000520B8"/>
    <w:rsid w:val="00055FDD"/>
    <w:rsid w:val="00056A70"/>
    <w:rsid w:val="000652A5"/>
    <w:rsid w:val="00065460"/>
    <w:rsid w:val="00066018"/>
    <w:rsid w:val="000769E0"/>
    <w:rsid w:val="00076A22"/>
    <w:rsid w:val="0007783D"/>
    <w:rsid w:val="0008013C"/>
    <w:rsid w:val="00082A9E"/>
    <w:rsid w:val="00083D7F"/>
    <w:rsid w:val="00091B0D"/>
    <w:rsid w:val="00096EFD"/>
    <w:rsid w:val="000A35CB"/>
    <w:rsid w:val="000A38E8"/>
    <w:rsid w:val="000A47CF"/>
    <w:rsid w:val="000A53FF"/>
    <w:rsid w:val="000A5AB8"/>
    <w:rsid w:val="000B110B"/>
    <w:rsid w:val="000B1687"/>
    <w:rsid w:val="000B4F55"/>
    <w:rsid w:val="000C4056"/>
    <w:rsid w:val="000C422C"/>
    <w:rsid w:val="000C7325"/>
    <w:rsid w:val="000D0C45"/>
    <w:rsid w:val="000E4BCB"/>
    <w:rsid w:val="000E69EA"/>
    <w:rsid w:val="000E764F"/>
    <w:rsid w:val="000F4244"/>
    <w:rsid w:val="00105D06"/>
    <w:rsid w:val="001114C2"/>
    <w:rsid w:val="00114D80"/>
    <w:rsid w:val="00122F34"/>
    <w:rsid w:val="001330EF"/>
    <w:rsid w:val="001502BC"/>
    <w:rsid w:val="00156FAC"/>
    <w:rsid w:val="00163999"/>
    <w:rsid w:val="00164DAC"/>
    <w:rsid w:val="00166EA3"/>
    <w:rsid w:val="00172BAA"/>
    <w:rsid w:val="001733F2"/>
    <w:rsid w:val="00185F80"/>
    <w:rsid w:val="00187625"/>
    <w:rsid w:val="00194346"/>
    <w:rsid w:val="00195D47"/>
    <w:rsid w:val="00195F50"/>
    <w:rsid w:val="001A042A"/>
    <w:rsid w:val="001A0A17"/>
    <w:rsid w:val="001A3448"/>
    <w:rsid w:val="001A5CF4"/>
    <w:rsid w:val="001B266B"/>
    <w:rsid w:val="001B7CF9"/>
    <w:rsid w:val="001C1AD3"/>
    <w:rsid w:val="001C2B31"/>
    <w:rsid w:val="001C5D51"/>
    <w:rsid w:val="001C5F02"/>
    <w:rsid w:val="001C6484"/>
    <w:rsid w:val="001C6AE5"/>
    <w:rsid w:val="001D0CB8"/>
    <w:rsid w:val="001D5801"/>
    <w:rsid w:val="001E3CB6"/>
    <w:rsid w:val="001F643F"/>
    <w:rsid w:val="00200759"/>
    <w:rsid w:val="00214048"/>
    <w:rsid w:val="00215D31"/>
    <w:rsid w:val="00235090"/>
    <w:rsid w:val="002369BB"/>
    <w:rsid w:val="00237E46"/>
    <w:rsid w:val="00240319"/>
    <w:rsid w:val="002413A7"/>
    <w:rsid w:val="002463B3"/>
    <w:rsid w:val="002625A8"/>
    <w:rsid w:val="00271E0C"/>
    <w:rsid w:val="00272DA0"/>
    <w:rsid w:val="00280520"/>
    <w:rsid w:val="002810F6"/>
    <w:rsid w:val="002814E9"/>
    <w:rsid w:val="002857AA"/>
    <w:rsid w:val="0028776F"/>
    <w:rsid w:val="00291D7B"/>
    <w:rsid w:val="002A0596"/>
    <w:rsid w:val="002A1246"/>
    <w:rsid w:val="002A26E3"/>
    <w:rsid w:val="002A62BD"/>
    <w:rsid w:val="002B02AD"/>
    <w:rsid w:val="002B0D38"/>
    <w:rsid w:val="002B2020"/>
    <w:rsid w:val="002B338B"/>
    <w:rsid w:val="002B6393"/>
    <w:rsid w:val="002C1054"/>
    <w:rsid w:val="002C1751"/>
    <w:rsid w:val="002C21C8"/>
    <w:rsid w:val="002C485B"/>
    <w:rsid w:val="002C5EA3"/>
    <w:rsid w:val="002C7BC6"/>
    <w:rsid w:val="002D2037"/>
    <w:rsid w:val="002D3B93"/>
    <w:rsid w:val="002D651A"/>
    <w:rsid w:val="002E2EB6"/>
    <w:rsid w:val="002E4C82"/>
    <w:rsid w:val="002E75EF"/>
    <w:rsid w:val="002F1E6D"/>
    <w:rsid w:val="002F45F4"/>
    <w:rsid w:val="00301CF5"/>
    <w:rsid w:val="00314226"/>
    <w:rsid w:val="0031678F"/>
    <w:rsid w:val="003175FF"/>
    <w:rsid w:val="003219D4"/>
    <w:rsid w:val="00321C75"/>
    <w:rsid w:val="00323E43"/>
    <w:rsid w:val="00326D36"/>
    <w:rsid w:val="0032795E"/>
    <w:rsid w:val="00332FC5"/>
    <w:rsid w:val="0034191C"/>
    <w:rsid w:val="003503ED"/>
    <w:rsid w:val="00350F18"/>
    <w:rsid w:val="00350FB4"/>
    <w:rsid w:val="00351FBB"/>
    <w:rsid w:val="00357E17"/>
    <w:rsid w:val="00362FC1"/>
    <w:rsid w:val="0037190D"/>
    <w:rsid w:val="003759AB"/>
    <w:rsid w:val="003767B6"/>
    <w:rsid w:val="0038281C"/>
    <w:rsid w:val="00385B86"/>
    <w:rsid w:val="003875E0"/>
    <w:rsid w:val="00390CF4"/>
    <w:rsid w:val="0039185B"/>
    <w:rsid w:val="003A53F3"/>
    <w:rsid w:val="003A793A"/>
    <w:rsid w:val="003B069B"/>
    <w:rsid w:val="003C2923"/>
    <w:rsid w:val="003C301B"/>
    <w:rsid w:val="003C38A9"/>
    <w:rsid w:val="003C5C4E"/>
    <w:rsid w:val="003D1481"/>
    <w:rsid w:val="003D22D0"/>
    <w:rsid w:val="003D29F9"/>
    <w:rsid w:val="003D4CD7"/>
    <w:rsid w:val="003D6EC5"/>
    <w:rsid w:val="003E2490"/>
    <w:rsid w:val="003E27AB"/>
    <w:rsid w:val="003F3DEE"/>
    <w:rsid w:val="003F71DD"/>
    <w:rsid w:val="00400678"/>
    <w:rsid w:val="004018BC"/>
    <w:rsid w:val="0040224F"/>
    <w:rsid w:val="004035B6"/>
    <w:rsid w:val="004039B8"/>
    <w:rsid w:val="00407B1B"/>
    <w:rsid w:val="004101AB"/>
    <w:rsid w:val="00411ADB"/>
    <w:rsid w:val="0042036D"/>
    <w:rsid w:val="00423061"/>
    <w:rsid w:val="00425552"/>
    <w:rsid w:val="00430EED"/>
    <w:rsid w:val="00432FE0"/>
    <w:rsid w:val="00434532"/>
    <w:rsid w:val="004418BA"/>
    <w:rsid w:val="00443D45"/>
    <w:rsid w:val="00450781"/>
    <w:rsid w:val="00453D40"/>
    <w:rsid w:val="00454F99"/>
    <w:rsid w:val="00457382"/>
    <w:rsid w:val="00462289"/>
    <w:rsid w:val="00471C11"/>
    <w:rsid w:val="0047441A"/>
    <w:rsid w:val="004A09BD"/>
    <w:rsid w:val="004A54CF"/>
    <w:rsid w:val="004A7BB0"/>
    <w:rsid w:val="004A7C95"/>
    <w:rsid w:val="004B38CE"/>
    <w:rsid w:val="004B606F"/>
    <w:rsid w:val="004C062C"/>
    <w:rsid w:val="004C43A9"/>
    <w:rsid w:val="004D2C3A"/>
    <w:rsid w:val="004D3505"/>
    <w:rsid w:val="004D55F7"/>
    <w:rsid w:val="004E3A0C"/>
    <w:rsid w:val="004E7280"/>
    <w:rsid w:val="004F1009"/>
    <w:rsid w:val="004F21D8"/>
    <w:rsid w:val="004F2602"/>
    <w:rsid w:val="00501A17"/>
    <w:rsid w:val="005029A3"/>
    <w:rsid w:val="005060BD"/>
    <w:rsid w:val="0050785B"/>
    <w:rsid w:val="005119FE"/>
    <w:rsid w:val="00515882"/>
    <w:rsid w:val="005211C9"/>
    <w:rsid w:val="00527189"/>
    <w:rsid w:val="00532DB8"/>
    <w:rsid w:val="00533757"/>
    <w:rsid w:val="00533855"/>
    <w:rsid w:val="005407E3"/>
    <w:rsid w:val="00541B5E"/>
    <w:rsid w:val="00541FCD"/>
    <w:rsid w:val="00544CB4"/>
    <w:rsid w:val="0054630B"/>
    <w:rsid w:val="0055245F"/>
    <w:rsid w:val="00554813"/>
    <w:rsid w:val="00562A87"/>
    <w:rsid w:val="00563491"/>
    <w:rsid w:val="005646A0"/>
    <w:rsid w:val="00566667"/>
    <w:rsid w:val="00571576"/>
    <w:rsid w:val="00577AF2"/>
    <w:rsid w:val="0058702F"/>
    <w:rsid w:val="005902DA"/>
    <w:rsid w:val="0059511D"/>
    <w:rsid w:val="005959AB"/>
    <w:rsid w:val="00596678"/>
    <w:rsid w:val="005A0432"/>
    <w:rsid w:val="005A78C1"/>
    <w:rsid w:val="005C7280"/>
    <w:rsid w:val="005C7C35"/>
    <w:rsid w:val="005D640F"/>
    <w:rsid w:val="005E571A"/>
    <w:rsid w:val="005E6B59"/>
    <w:rsid w:val="005E74BB"/>
    <w:rsid w:val="005F08DB"/>
    <w:rsid w:val="005F1778"/>
    <w:rsid w:val="005F1859"/>
    <w:rsid w:val="005F23A5"/>
    <w:rsid w:val="005F4869"/>
    <w:rsid w:val="005F6361"/>
    <w:rsid w:val="005F6CFE"/>
    <w:rsid w:val="006001DF"/>
    <w:rsid w:val="0060388C"/>
    <w:rsid w:val="00615A09"/>
    <w:rsid w:val="00616E37"/>
    <w:rsid w:val="00623965"/>
    <w:rsid w:val="00625DE2"/>
    <w:rsid w:val="0064262E"/>
    <w:rsid w:val="00643BBB"/>
    <w:rsid w:val="00646348"/>
    <w:rsid w:val="0064697A"/>
    <w:rsid w:val="006506B7"/>
    <w:rsid w:val="006564B0"/>
    <w:rsid w:val="00663FBE"/>
    <w:rsid w:val="006710A7"/>
    <w:rsid w:val="00671329"/>
    <w:rsid w:val="006730E9"/>
    <w:rsid w:val="006776DB"/>
    <w:rsid w:val="00677846"/>
    <w:rsid w:val="006802EB"/>
    <w:rsid w:val="00695849"/>
    <w:rsid w:val="006973BB"/>
    <w:rsid w:val="006A0584"/>
    <w:rsid w:val="006A317B"/>
    <w:rsid w:val="006B0C67"/>
    <w:rsid w:val="006B56E4"/>
    <w:rsid w:val="006B79E4"/>
    <w:rsid w:val="006C0A88"/>
    <w:rsid w:val="006D3A1A"/>
    <w:rsid w:val="006D5A7B"/>
    <w:rsid w:val="006D5E77"/>
    <w:rsid w:val="006D7E3C"/>
    <w:rsid w:val="006E3300"/>
    <w:rsid w:val="006E38FF"/>
    <w:rsid w:val="006E7CA9"/>
    <w:rsid w:val="006F10F9"/>
    <w:rsid w:val="006F152A"/>
    <w:rsid w:val="006F1B84"/>
    <w:rsid w:val="006F1DF4"/>
    <w:rsid w:val="006F4F91"/>
    <w:rsid w:val="006F55C9"/>
    <w:rsid w:val="007019ED"/>
    <w:rsid w:val="00701FDB"/>
    <w:rsid w:val="00704D4B"/>
    <w:rsid w:val="00705DDD"/>
    <w:rsid w:val="007064C4"/>
    <w:rsid w:val="00707197"/>
    <w:rsid w:val="007112AA"/>
    <w:rsid w:val="00716CB7"/>
    <w:rsid w:val="00717E39"/>
    <w:rsid w:val="007254B0"/>
    <w:rsid w:val="00736B29"/>
    <w:rsid w:val="00740B4E"/>
    <w:rsid w:val="00760ED2"/>
    <w:rsid w:val="00765676"/>
    <w:rsid w:val="00765F4B"/>
    <w:rsid w:val="00777185"/>
    <w:rsid w:val="00777D1B"/>
    <w:rsid w:val="0078417A"/>
    <w:rsid w:val="00784BA3"/>
    <w:rsid w:val="00785AD0"/>
    <w:rsid w:val="00785F05"/>
    <w:rsid w:val="00787928"/>
    <w:rsid w:val="00790887"/>
    <w:rsid w:val="00796768"/>
    <w:rsid w:val="007A3452"/>
    <w:rsid w:val="007C0A6C"/>
    <w:rsid w:val="007D03D1"/>
    <w:rsid w:val="007D40A0"/>
    <w:rsid w:val="007D57A0"/>
    <w:rsid w:val="007D7B1A"/>
    <w:rsid w:val="007E2ED3"/>
    <w:rsid w:val="007E7A12"/>
    <w:rsid w:val="007F06E8"/>
    <w:rsid w:val="007F2152"/>
    <w:rsid w:val="007F3AB5"/>
    <w:rsid w:val="007F5F4D"/>
    <w:rsid w:val="007F5FB6"/>
    <w:rsid w:val="007F60A9"/>
    <w:rsid w:val="00805CB9"/>
    <w:rsid w:val="00810089"/>
    <w:rsid w:val="00813CBC"/>
    <w:rsid w:val="00815787"/>
    <w:rsid w:val="008172FC"/>
    <w:rsid w:val="00817E9A"/>
    <w:rsid w:val="00825B3F"/>
    <w:rsid w:val="008267FB"/>
    <w:rsid w:val="00831000"/>
    <w:rsid w:val="00831D47"/>
    <w:rsid w:val="008347B4"/>
    <w:rsid w:val="008379F2"/>
    <w:rsid w:val="008423A9"/>
    <w:rsid w:val="00842A0C"/>
    <w:rsid w:val="00843DD0"/>
    <w:rsid w:val="008456C8"/>
    <w:rsid w:val="00845A0A"/>
    <w:rsid w:val="00853970"/>
    <w:rsid w:val="00855E6B"/>
    <w:rsid w:val="00861509"/>
    <w:rsid w:val="008621B9"/>
    <w:rsid w:val="008624CD"/>
    <w:rsid w:val="00862679"/>
    <w:rsid w:val="0087427B"/>
    <w:rsid w:val="00875130"/>
    <w:rsid w:val="0088002E"/>
    <w:rsid w:val="00880A90"/>
    <w:rsid w:val="00883A50"/>
    <w:rsid w:val="00883C9A"/>
    <w:rsid w:val="0088424B"/>
    <w:rsid w:val="0088453E"/>
    <w:rsid w:val="00887464"/>
    <w:rsid w:val="008908B0"/>
    <w:rsid w:val="00890A32"/>
    <w:rsid w:val="0089532F"/>
    <w:rsid w:val="00896A79"/>
    <w:rsid w:val="008A1FA6"/>
    <w:rsid w:val="008A2AEA"/>
    <w:rsid w:val="008A453D"/>
    <w:rsid w:val="008B08DB"/>
    <w:rsid w:val="008B569E"/>
    <w:rsid w:val="008B71A5"/>
    <w:rsid w:val="008B78EE"/>
    <w:rsid w:val="008C0BDE"/>
    <w:rsid w:val="008C2019"/>
    <w:rsid w:val="008C5C29"/>
    <w:rsid w:val="008D42EC"/>
    <w:rsid w:val="008D64D6"/>
    <w:rsid w:val="008D72A9"/>
    <w:rsid w:val="008E28C2"/>
    <w:rsid w:val="008E3FC4"/>
    <w:rsid w:val="008E4D9F"/>
    <w:rsid w:val="008E7865"/>
    <w:rsid w:val="008F41DD"/>
    <w:rsid w:val="00901447"/>
    <w:rsid w:val="009017D1"/>
    <w:rsid w:val="009049AA"/>
    <w:rsid w:val="0090733C"/>
    <w:rsid w:val="009171CF"/>
    <w:rsid w:val="009174E1"/>
    <w:rsid w:val="00923355"/>
    <w:rsid w:val="00924954"/>
    <w:rsid w:val="00924F1D"/>
    <w:rsid w:val="00925854"/>
    <w:rsid w:val="00927645"/>
    <w:rsid w:val="00933FAB"/>
    <w:rsid w:val="0093538A"/>
    <w:rsid w:val="009378C0"/>
    <w:rsid w:val="009408D2"/>
    <w:rsid w:val="00942BA9"/>
    <w:rsid w:val="00944329"/>
    <w:rsid w:val="0095115D"/>
    <w:rsid w:val="00951745"/>
    <w:rsid w:val="00951E9F"/>
    <w:rsid w:val="0095386C"/>
    <w:rsid w:val="00954761"/>
    <w:rsid w:val="00955629"/>
    <w:rsid w:val="00970AEC"/>
    <w:rsid w:val="00973905"/>
    <w:rsid w:val="00976C05"/>
    <w:rsid w:val="00981DEF"/>
    <w:rsid w:val="00981E45"/>
    <w:rsid w:val="0098272A"/>
    <w:rsid w:val="009831D8"/>
    <w:rsid w:val="00987067"/>
    <w:rsid w:val="00987487"/>
    <w:rsid w:val="00987562"/>
    <w:rsid w:val="00991065"/>
    <w:rsid w:val="0099157F"/>
    <w:rsid w:val="00992F63"/>
    <w:rsid w:val="0099724F"/>
    <w:rsid w:val="009A3346"/>
    <w:rsid w:val="009A4021"/>
    <w:rsid w:val="009B2A2E"/>
    <w:rsid w:val="009B2C2D"/>
    <w:rsid w:val="009B514A"/>
    <w:rsid w:val="009B701E"/>
    <w:rsid w:val="009B714D"/>
    <w:rsid w:val="009B7247"/>
    <w:rsid w:val="009B77C5"/>
    <w:rsid w:val="009B7C74"/>
    <w:rsid w:val="009C42F5"/>
    <w:rsid w:val="009C66BE"/>
    <w:rsid w:val="009C74FB"/>
    <w:rsid w:val="009D29F3"/>
    <w:rsid w:val="009D5578"/>
    <w:rsid w:val="009E2D64"/>
    <w:rsid w:val="009E60CC"/>
    <w:rsid w:val="009F1002"/>
    <w:rsid w:val="00A00CF8"/>
    <w:rsid w:val="00A12AC7"/>
    <w:rsid w:val="00A13590"/>
    <w:rsid w:val="00A21174"/>
    <w:rsid w:val="00A2655B"/>
    <w:rsid w:val="00A30664"/>
    <w:rsid w:val="00A357BD"/>
    <w:rsid w:val="00A36665"/>
    <w:rsid w:val="00A36F7A"/>
    <w:rsid w:val="00A416AB"/>
    <w:rsid w:val="00A420AB"/>
    <w:rsid w:val="00A46C3B"/>
    <w:rsid w:val="00A47C48"/>
    <w:rsid w:val="00A624BD"/>
    <w:rsid w:val="00A63162"/>
    <w:rsid w:val="00A63666"/>
    <w:rsid w:val="00A64375"/>
    <w:rsid w:val="00A70C11"/>
    <w:rsid w:val="00A7311C"/>
    <w:rsid w:val="00A768ED"/>
    <w:rsid w:val="00A8444C"/>
    <w:rsid w:val="00A943DC"/>
    <w:rsid w:val="00A967C0"/>
    <w:rsid w:val="00AA091D"/>
    <w:rsid w:val="00AA2BE4"/>
    <w:rsid w:val="00AA31EC"/>
    <w:rsid w:val="00AA59D7"/>
    <w:rsid w:val="00AA64A8"/>
    <w:rsid w:val="00AB250E"/>
    <w:rsid w:val="00AC0E9D"/>
    <w:rsid w:val="00AC2114"/>
    <w:rsid w:val="00AC310C"/>
    <w:rsid w:val="00AC7F22"/>
    <w:rsid w:val="00AD0042"/>
    <w:rsid w:val="00AD3895"/>
    <w:rsid w:val="00AD548F"/>
    <w:rsid w:val="00AE4253"/>
    <w:rsid w:val="00AE4946"/>
    <w:rsid w:val="00AF09CA"/>
    <w:rsid w:val="00AF7E08"/>
    <w:rsid w:val="00B009F4"/>
    <w:rsid w:val="00B06F14"/>
    <w:rsid w:val="00B07EF3"/>
    <w:rsid w:val="00B14C4B"/>
    <w:rsid w:val="00B15415"/>
    <w:rsid w:val="00B17F97"/>
    <w:rsid w:val="00B222BE"/>
    <w:rsid w:val="00B23D1D"/>
    <w:rsid w:val="00B263B7"/>
    <w:rsid w:val="00B30EF0"/>
    <w:rsid w:val="00B359D8"/>
    <w:rsid w:val="00B41A90"/>
    <w:rsid w:val="00B41BA9"/>
    <w:rsid w:val="00B43BA3"/>
    <w:rsid w:val="00B459EE"/>
    <w:rsid w:val="00B505B7"/>
    <w:rsid w:val="00B51623"/>
    <w:rsid w:val="00B51E6D"/>
    <w:rsid w:val="00B61019"/>
    <w:rsid w:val="00B62859"/>
    <w:rsid w:val="00B70091"/>
    <w:rsid w:val="00B73D2D"/>
    <w:rsid w:val="00B74395"/>
    <w:rsid w:val="00B748E0"/>
    <w:rsid w:val="00B75DDE"/>
    <w:rsid w:val="00B94111"/>
    <w:rsid w:val="00B956C3"/>
    <w:rsid w:val="00B958ED"/>
    <w:rsid w:val="00B95CD0"/>
    <w:rsid w:val="00B96D07"/>
    <w:rsid w:val="00BA2C61"/>
    <w:rsid w:val="00BA3FF7"/>
    <w:rsid w:val="00BA5BE5"/>
    <w:rsid w:val="00BA70F2"/>
    <w:rsid w:val="00BA7BB6"/>
    <w:rsid w:val="00BB3022"/>
    <w:rsid w:val="00BC0BAF"/>
    <w:rsid w:val="00BC43FC"/>
    <w:rsid w:val="00BC793D"/>
    <w:rsid w:val="00BD0D45"/>
    <w:rsid w:val="00BD207A"/>
    <w:rsid w:val="00BD5ADD"/>
    <w:rsid w:val="00BD5B17"/>
    <w:rsid w:val="00BE1E16"/>
    <w:rsid w:val="00BE43A2"/>
    <w:rsid w:val="00BE6136"/>
    <w:rsid w:val="00BF0E6F"/>
    <w:rsid w:val="00C03A76"/>
    <w:rsid w:val="00C07B0B"/>
    <w:rsid w:val="00C133AF"/>
    <w:rsid w:val="00C14CB1"/>
    <w:rsid w:val="00C1557D"/>
    <w:rsid w:val="00C16300"/>
    <w:rsid w:val="00C17E20"/>
    <w:rsid w:val="00C213C8"/>
    <w:rsid w:val="00C227CD"/>
    <w:rsid w:val="00C26089"/>
    <w:rsid w:val="00C30AAE"/>
    <w:rsid w:val="00C30E31"/>
    <w:rsid w:val="00C3252C"/>
    <w:rsid w:val="00C37A41"/>
    <w:rsid w:val="00C402D9"/>
    <w:rsid w:val="00C412C8"/>
    <w:rsid w:val="00C447A9"/>
    <w:rsid w:val="00C44E0E"/>
    <w:rsid w:val="00C4544E"/>
    <w:rsid w:val="00C464D0"/>
    <w:rsid w:val="00C4704C"/>
    <w:rsid w:val="00C47C48"/>
    <w:rsid w:val="00C51BE1"/>
    <w:rsid w:val="00C563E8"/>
    <w:rsid w:val="00C60086"/>
    <w:rsid w:val="00C60AC7"/>
    <w:rsid w:val="00C61E2C"/>
    <w:rsid w:val="00C63806"/>
    <w:rsid w:val="00C648BC"/>
    <w:rsid w:val="00C654B2"/>
    <w:rsid w:val="00C67524"/>
    <w:rsid w:val="00C70D66"/>
    <w:rsid w:val="00C771B0"/>
    <w:rsid w:val="00C77839"/>
    <w:rsid w:val="00C81687"/>
    <w:rsid w:val="00C86C05"/>
    <w:rsid w:val="00C96EE0"/>
    <w:rsid w:val="00CA07E2"/>
    <w:rsid w:val="00CB297C"/>
    <w:rsid w:val="00CB2DC2"/>
    <w:rsid w:val="00CB3570"/>
    <w:rsid w:val="00CB35CE"/>
    <w:rsid w:val="00CB6BDE"/>
    <w:rsid w:val="00CC1023"/>
    <w:rsid w:val="00CC4DB3"/>
    <w:rsid w:val="00CD2978"/>
    <w:rsid w:val="00CD3871"/>
    <w:rsid w:val="00CD5ADE"/>
    <w:rsid w:val="00CD799E"/>
    <w:rsid w:val="00CE7985"/>
    <w:rsid w:val="00CF5E28"/>
    <w:rsid w:val="00D04332"/>
    <w:rsid w:val="00D055AD"/>
    <w:rsid w:val="00D108EE"/>
    <w:rsid w:val="00D12786"/>
    <w:rsid w:val="00D160B7"/>
    <w:rsid w:val="00D16C8F"/>
    <w:rsid w:val="00D22CDE"/>
    <w:rsid w:val="00D278F7"/>
    <w:rsid w:val="00D36675"/>
    <w:rsid w:val="00D37A3D"/>
    <w:rsid w:val="00D4064C"/>
    <w:rsid w:val="00D40950"/>
    <w:rsid w:val="00D4156A"/>
    <w:rsid w:val="00D469D1"/>
    <w:rsid w:val="00D5260D"/>
    <w:rsid w:val="00D660C9"/>
    <w:rsid w:val="00D774E5"/>
    <w:rsid w:val="00D801D9"/>
    <w:rsid w:val="00D808E3"/>
    <w:rsid w:val="00D870CE"/>
    <w:rsid w:val="00DA5DE6"/>
    <w:rsid w:val="00DB1282"/>
    <w:rsid w:val="00DB24FD"/>
    <w:rsid w:val="00DB4FA4"/>
    <w:rsid w:val="00DB50A0"/>
    <w:rsid w:val="00DC0327"/>
    <w:rsid w:val="00DD0479"/>
    <w:rsid w:val="00DD2056"/>
    <w:rsid w:val="00DD50F1"/>
    <w:rsid w:val="00DD60BF"/>
    <w:rsid w:val="00DE2611"/>
    <w:rsid w:val="00DE5F9C"/>
    <w:rsid w:val="00DF19C4"/>
    <w:rsid w:val="00DF2938"/>
    <w:rsid w:val="00DF5695"/>
    <w:rsid w:val="00DF66CF"/>
    <w:rsid w:val="00E003B2"/>
    <w:rsid w:val="00E07D4B"/>
    <w:rsid w:val="00E105D5"/>
    <w:rsid w:val="00E143CE"/>
    <w:rsid w:val="00E15162"/>
    <w:rsid w:val="00E2064E"/>
    <w:rsid w:val="00E24BEC"/>
    <w:rsid w:val="00E264DC"/>
    <w:rsid w:val="00E2742F"/>
    <w:rsid w:val="00E304AB"/>
    <w:rsid w:val="00E357DD"/>
    <w:rsid w:val="00E36059"/>
    <w:rsid w:val="00E407E2"/>
    <w:rsid w:val="00E512D4"/>
    <w:rsid w:val="00E51973"/>
    <w:rsid w:val="00E52E78"/>
    <w:rsid w:val="00E54688"/>
    <w:rsid w:val="00E60F73"/>
    <w:rsid w:val="00E633FE"/>
    <w:rsid w:val="00E72327"/>
    <w:rsid w:val="00E73F26"/>
    <w:rsid w:val="00E8413C"/>
    <w:rsid w:val="00E850F6"/>
    <w:rsid w:val="00E90BAD"/>
    <w:rsid w:val="00EA0137"/>
    <w:rsid w:val="00EA1867"/>
    <w:rsid w:val="00EA7888"/>
    <w:rsid w:val="00EB054D"/>
    <w:rsid w:val="00EB09C6"/>
    <w:rsid w:val="00EB48E3"/>
    <w:rsid w:val="00EB6D3A"/>
    <w:rsid w:val="00EB7C21"/>
    <w:rsid w:val="00EC150D"/>
    <w:rsid w:val="00EC25AD"/>
    <w:rsid w:val="00EC389B"/>
    <w:rsid w:val="00EC3DB0"/>
    <w:rsid w:val="00EC4AFE"/>
    <w:rsid w:val="00ED3BDE"/>
    <w:rsid w:val="00ED6C7B"/>
    <w:rsid w:val="00EE310D"/>
    <w:rsid w:val="00EE5E50"/>
    <w:rsid w:val="00EE6787"/>
    <w:rsid w:val="00EE7439"/>
    <w:rsid w:val="00EF06A0"/>
    <w:rsid w:val="00EF42C9"/>
    <w:rsid w:val="00F03C89"/>
    <w:rsid w:val="00F051B4"/>
    <w:rsid w:val="00F12FFD"/>
    <w:rsid w:val="00F17AC9"/>
    <w:rsid w:val="00F220EA"/>
    <w:rsid w:val="00F22825"/>
    <w:rsid w:val="00F22E08"/>
    <w:rsid w:val="00F23F46"/>
    <w:rsid w:val="00F23F93"/>
    <w:rsid w:val="00F26F59"/>
    <w:rsid w:val="00F30149"/>
    <w:rsid w:val="00F30D67"/>
    <w:rsid w:val="00F3484E"/>
    <w:rsid w:val="00F358B8"/>
    <w:rsid w:val="00F35963"/>
    <w:rsid w:val="00F40707"/>
    <w:rsid w:val="00F54E4F"/>
    <w:rsid w:val="00F55BF1"/>
    <w:rsid w:val="00F6136B"/>
    <w:rsid w:val="00F675BF"/>
    <w:rsid w:val="00F7226B"/>
    <w:rsid w:val="00F76A3E"/>
    <w:rsid w:val="00F81444"/>
    <w:rsid w:val="00F820A5"/>
    <w:rsid w:val="00F82B4B"/>
    <w:rsid w:val="00F836A9"/>
    <w:rsid w:val="00F84752"/>
    <w:rsid w:val="00F87FE3"/>
    <w:rsid w:val="00F90493"/>
    <w:rsid w:val="00FB0485"/>
    <w:rsid w:val="00FB2780"/>
    <w:rsid w:val="00FB2B98"/>
    <w:rsid w:val="00FB4262"/>
    <w:rsid w:val="00FC0D6E"/>
    <w:rsid w:val="00FC2A62"/>
    <w:rsid w:val="00FC2BC0"/>
    <w:rsid w:val="00FC3682"/>
    <w:rsid w:val="00FD36F8"/>
    <w:rsid w:val="00FD4237"/>
    <w:rsid w:val="00FE2141"/>
    <w:rsid w:val="00FE31BA"/>
    <w:rsid w:val="00FE3EC2"/>
    <w:rsid w:val="00FE4B9A"/>
    <w:rsid w:val="00FF293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17FB4227"/>
  <w15:chartTrackingRefBased/>
  <w15:docId w15:val="{97216E34-814F-1C42-A8CE-2EB108584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Ttulo1">
    <w:name w:val="heading 1"/>
    <w:basedOn w:val="Normal"/>
    <w:next w:val="Normal"/>
    <w:link w:val="Ttulo1Car"/>
    <w:uiPriority w:val="9"/>
    <w:qFormat/>
    <w:rsid w:val="001733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733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1733F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733F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733F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733F2"/>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733F2"/>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733F2"/>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733F2"/>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733F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733F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1733F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733F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733F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733F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733F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733F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733F2"/>
    <w:rPr>
      <w:rFonts w:eastAsiaTheme="majorEastAsia" w:cstheme="majorBidi"/>
      <w:color w:val="272727" w:themeColor="text1" w:themeTint="D8"/>
    </w:rPr>
  </w:style>
  <w:style w:type="paragraph" w:styleId="Ttulo">
    <w:name w:val="Title"/>
    <w:basedOn w:val="Normal"/>
    <w:next w:val="Normal"/>
    <w:link w:val="TtuloCar"/>
    <w:uiPriority w:val="10"/>
    <w:qFormat/>
    <w:rsid w:val="001733F2"/>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733F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733F2"/>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733F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733F2"/>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1733F2"/>
    <w:rPr>
      <w:rFonts w:eastAsiaTheme="minorEastAsia"/>
      <w:i/>
      <w:iCs/>
      <w:color w:val="404040" w:themeColor="text1" w:themeTint="BF"/>
    </w:rPr>
  </w:style>
  <w:style w:type="paragraph" w:styleId="Prrafodelista">
    <w:name w:val="List Paragraph"/>
    <w:basedOn w:val="Normal"/>
    <w:uiPriority w:val="34"/>
    <w:qFormat/>
    <w:rsid w:val="001733F2"/>
    <w:pPr>
      <w:ind w:left="720"/>
      <w:contextualSpacing/>
    </w:pPr>
  </w:style>
  <w:style w:type="character" w:styleId="nfasisintenso">
    <w:name w:val="Intense Emphasis"/>
    <w:basedOn w:val="Fuentedeprrafopredeter"/>
    <w:uiPriority w:val="21"/>
    <w:qFormat/>
    <w:rsid w:val="001733F2"/>
    <w:rPr>
      <w:i/>
      <w:iCs/>
      <w:color w:val="0F4761" w:themeColor="accent1" w:themeShade="BF"/>
    </w:rPr>
  </w:style>
  <w:style w:type="paragraph" w:styleId="Citadestacada">
    <w:name w:val="Intense Quote"/>
    <w:basedOn w:val="Normal"/>
    <w:next w:val="Normal"/>
    <w:link w:val="CitadestacadaCar"/>
    <w:uiPriority w:val="30"/>
    <w:qFormat/>
    <w:rsid w:val="001733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733F2"/>
    <w:rPr>
      <w:rFonts w:eastAsiaTheme="minorEastAsia"/>
      <w:i/>
      <w:iCs/>
      <w:color w:val="0F4761" w:themeColor="accent1" w:themeShade="BF"/>
    </w:rPr>
  </w:style>
  <w:style w:type="character" w:styleId="Referenciaintensa">
    <w:name w:val="Intense Reference"/>
    <w:basedOn w:val="Fuentedeprrafopredeter"/>
    <w:uiPriority w:val="32"/>
    <w:qFormat/>
    <w:rsid w:val="001733F2"/>
    <w:rPr>
      <w:b/>
      <w:bCs/>
      <w:smallCaps/>
      <w:color w:val="0F4761" w:themeColor="accent1" w:themeShade="BF"/>
      <w:spacing w:val="5"/>
    </w:rPr>
  </w:style>
  <w:style w:type="paragraph" w:customStyle="1" w:styleId="firstmt-15">
    <w:name w:val="first:mt-1.5!"/>
    <w:basedOn w:val="Normal"/>
    <w:rsid w:val="001733F2"/>
    <w:pPr>
      <w:spacing w:before="100" w:beforeAutospacing="1" w:after="100" w:afterAutospacing="1"/>
    </w:pPr>
    <w:rPr>
      <w:rFonts w:ascii="Times New Roman" w:eastAsia="Times New Roman" w:hAnsi="Times New Roman" w:cs="Times New Roman"/>
      <w:lang w:eastAsia="es-ES_tradnl"/>
    </w:rPr>
  </w:style>
  <w:style w:type="character" w:styleId="Fuerte">
    <w:name w:val="Strong"/>
    <w:basedOn w:val="Fuentedeprrafopredeter"/>
    <w:uiPriority w:val="22"/>
    <w:qFormat/>
    <w:rsid w:val="001733F2"/>
    <w:rPr>
      <w:b/>
      <w:bCs/>
    </w:rPr>
  </w:style>
  <w:style w:type="character" w:styleId="nfasis">
    <w:name w:val="Emphasis"/>
    <w:basedOn w:val="Fuentedeprrafopredeter"/>
    <w:uiPriority w:val="20"/>
    <w:qFormat/>
    <w:rsid w:val="001733F2"/>
    <w:rPr>
      <w:i/>
      <w:iCs/>
    </w:rPr>
  </w:style>
  <w:style w:type="paragraph" w:customStyle="1" w:styleId="ml-4">
    <w:name w:val="ml-4"/>
    <w:basedOn w:val="Normal"/>
    <w:rsid w:val="001733F2"/>
    <w:pPr>
      <w:spacing w:before="100" w:beforeAutospacing="1" w:after="100" w:afterAutospacing="1"/>
    </w:pPr>
    <w:rPr>
      <w:rFonts w:ascii="Times New Roman" w:eastAsia="Times New Roman" w:hAnsi="Times New Roman" w:cs="Times New Roman"/>
      <w:lang w:eastAsia="es-ES_tradnl"/>
    </w:rPr>
  </w:style>
  <w:style w:type="character" w:styleId="Hipervnculo">
    <w:name w:val="Hyperlink"/>
    <w:basedOn w:val="Fuentedeprrafopredeter"/>
    <w:uiPriority w:val="99"/>
    <w:unhideWhenUsed/>
    <w:rsid w:val="001733F2"/>
    <w:rPr>
      <w:color w:val="467886" w:themeColor="hyperlink"/>
      <w:u w:val="single"/>
    </w:rPr>
  </w:style>
  <w:style w:type="character" w:styleId="Mencinsinresolver">
    <w:name w:val="Unresolved Mention"/>
    <w:basedOn w:val="Fuentedeprrafopredeter"/>
    <w:uiPriority w:val="99"/>
    <w:semiHidden/>
    <w:unhideWhenUsed/>
    <w:rsid w:val="001733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wallise@ucm.es"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1311</Words>
  <Characters>8525</Characters>
  <Application>Microsoft Office Word</Application>
  <DocSecurity>0</DocSecurity>
  <Lines>106</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ANDRES WALLISER MARTINEZ</dc:creator>
  <cp:keywords/>
  <dc:description/>
  <cp:lastModifiedBy>JUAN ANDRES WALLISER MARTINEZ</cp:lastModifiedBy>
  <cp:revision>2</cp:revision>
  <dcterms:created xsi:type="dcterms:W3CDTF">2026-03-13T21:18:00Z</dcterms:created>
  <dcterms:modified xsi:type="dcterms:W3CDTF">2026-03-13T21:18:00Z</dcterms:modified>
</cp:coreProperties>
</file>