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8E900" w14:textId="77777777" w:rsidR="00037388" w:rsidRDefault="00C86D46" w:rsidP="007227C4">
      <w:pPr>
        <w:rPr>
          <w:rStyle w:val="Ninguno"/>
          <w:rFonts w:ascii="Arial" w:hAnsi="Arial" w:cs="Arial"/>
          <w:b/>
          <w:bCs/>
          <w:color w:val="000000"/>
          <w:u w:color="000000"/>
        </w:rPr>
      </w:pPr>
      <w:r>
        <w:rPr>
          <w:noProof/>
        </w:rPr>
        <w:drawing>
          <wp:anchor distT="0" distB="0" distL="114300" distR="114300" simplePos="0" relativeHeight="251658240" behindDoc="0" locked="0" layoutInCell="1" allowOverlap="1" wp14:anchorId="3D0BBE28" wp14:editId="6788CAD1">
            <wp:simplePos x="0" y="0"/>
            <wp:positionH relativeFrom="page">
              <wp:posOffset>-19050</wp:posOffset>
            </wp:positionH>
            <wp:positionV relativeFrom="margin">
              <wp:posOffset>-890270</wp:posOffset>
            </wp:positionV>
            <wp:extent cx="7620000" cy="2160270"/>
            <wp:effectExtent l="0" t="0" r="0" b="0"/>
            <wp:wrapSquare wrapText="bothSides"/>
            <wp:docPr id="1403554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54056"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7620000" cy="2160270"/>
                    </a:xfrm>
                    <a:prstGeom prst="rect">
                      <a:avLst/>
                    </a:prstGeom>
                  </pic:spPr>
                </pic:pic>
              </a:graphicData>
            </a:graphic>
            <wp14:sizeRelH relativeFrom="margin">
              <wp14:pctWidth>0</wp14:pctWidth>
            </wp14:sizeRelH>
            <wp14:sizeRelV relativeFrom="margin">
              <wp14:pctHeight>0</wp14:pctHeight>
            </wp14:sizeRelV>
          </wp:anchor>
        </w:drawing>
      </w:r>
    </w:p>
    <w:p w14:paraId="78ACFD72" w14:textId="15CADA64" w:rsidR="00B068CE" w:rsidRPr="008069BD" w:rsidRDefault="00B068CE" w:rsidP="007227C4">
      <w:pPr>
        <w:rPr>
          <w:rStyle w:val="Ninguno"/>
          <w:rFonts w:ascii="Arial" w:hAnsi="Arial" w:cs="Arial"/>
          <w:b/>
          <w:bCs/>
          <w:color w:val="000000"/>
          <w:u w:color="000000"/>
        </w:rPr>
      </w:pPr>
      <w:r w:rsidRPr="008069BD">
        <w:rPr>
          <w:rStyle w:val="Ninguno"/>
          <w:rFonts w:ascii="Arial" w:hAnsi="Arial" w:cs="Arial"/>
          <w:b/>
          <w:bCs/>
          <w:color w:val="000000"/>
          <w:u w:color="000000"/>
        </w:rPr>
        <w:t>Título</w:t>
      </w:r>
    </w:p>
    <w:p w14:paraId="3774F7F4" w14:textId="07B2BBC0" w:rsidR="008069BD" w:rsidRPr="00F77E8D" w:rsidRDefault="008069BD" w:rsidP="00792440">
      <w:pPr>
        <w:jc w:val="both"/>
        <w:rPr>
          <w:rFonts w:ascii="Arial" w:hAnsi="Arial" w:cs="Arial"/>
          <w:b/>
          <w:bCs/>
        </w:rPr>
      </w:pPr>
      <w:proofErr w:type="spellStart"/>
      <w:r w:rsidRPr="00F77E8D">
        <w:rPr>
          <w:rFonts w:ascii="Arial" w:hAnsi="Arial" w:cs="Arial"/>
          <w:b/>
          <w:bCs/>
        </w:rPr>
        <w:t>eCUPPA</w:t>
      </w:r>
      <w:proofErr w:type="spellEnd"/>
      <w:r w:rsidRPr="00F77E8D">
        <w:rPr>
          <w:rFonts w:ascii="Arial" w:hAnsi="Arial" w:cs="Arial"/>
          <w:b/>
          <w:bCs/>
        </w:rPr>
        <w:t xml:space="preserve">: una plataforma digital para analizar políticas urbanas desde una lógica de integración y evaluación orientada teóricamente. Aplicación al estudio de las EDUSI en ciudades españolas de más de 100.000 habitantes. </w:t>
      </w:r>
    </w:p>
    <w:p w14:paraId="2B998BF2" w14:textId="543D2ABC" w:rsidR="000326B6" w:rsidRPr="00790D0C" w:rsidRDefault="000326B6" w:rsidP="00792440">
      <w:pPr>
        <w:pStyle w:val="Poromisin"/>
        <w:jc w:val="both"/>
        <w:rPr>
          <w:rStyle w:val="Ninguno"/>
          <w:rFonts w:ascii="Arial" w:eastAsia="Arial" w:hAnsi="Arial" w:cs="Arial"/>
          <w:b/>
          <w:bCs/>
          <w:color w:val="auto"/>
          <w:u w:color="000000"/>
        </w:rPr>
      </w:pPr>
      <w:r w:rsidRPr="00790D0C">
        <w:rPr>
          <w:rStyle w:val="Ninguno"/>
          <w:rFonts w:ascii="Arial" w:hAnsi="Arial" w:cs="Arial"/>
          <w:b/>
          <w:bCs/>
          <w:color w:val="auto"/>
          <w:u w:color="000000"/>
        </w:rPr>
        <w:t>Guerrero-</w:t>
      </w:r>
      <w:proofErr w:type="gramStart"/>
      <w:r w:rsidRPr="00790D0C">
        <w:rPr>
          <w:rStyle w:val="Ninguno"/>
          <w:rFonts w:ascii="Arial" w:hAnsi="Arial" w:cs="Arial"/>
          <w:b/>
          <w:bCs/>
          <w:color w:val="auto"/>
          <w:u w:color="000000"/>
        </w:rPr>
        <w:t>Mayo</w:t>
      </w:r>
      <w:proofErr w:type="gramEnd"/>
      <w:r w:rsidRPr="00790D0C">
        <w:rPr>
          <w:rStyle w:val="Ninguno"/>
          <w:rFonts w:ascii="Arial" w:hAnsi="Arial" w:cs="Arial"/>
          <w:b/>
          <w:bCs/>
          <w:color w:val="auto"/>
          <w:u w:color="000000"/>
        </w:rPr>
        <w:t>, María José</w:t>
      </w:r>
      <w:r w:rsidRPr="00790D0C">
        <w:rPr>
          <w:rStyle w:val="Ninguno"/>
          <w:rFonts w:ascii="Arial" w:hAnsi="Arial" w:cs="Arial"/>
          <w:b/>
          <w:bCs/>
          <w:color w:val="auto"/>
          <w:u w:color="000000"/>
          <w:vertAlign w:val="superscript"/>
        </w:rPr>
        <w:t>a</w:t>
      </w:r>
      <w:r w:rsidRPr="00790D0C">
        <w:rPr>
          <w:rStyle w:val="Ninguno"/>
          <w:rFonts w:ascii="Arial" w:hAnsi="Arial" w:cs="Arial"/>
          <w:b/>
          <w:bCs/>
          <w:color w:val="auto"/>
          <w:u w:color="000000"/>
        </w:rPr>
        <w:t>, Dorado-Rubín, María José</w:t>
      </w:r>
      <w:r w:rsidRPr="00790D0C">
        <w:rPr>
          <w:rStyle w:val="Ninguno"/>
          <w:rFonts w:ascii="Arial" w:hAnsi="Arial" w:cs="Arial"/>
          <w:b/>
          <w:bCs/>
          <w:color w:val="auto"/>
          <w:u w:color="000000"/>
          <w:vertAlign w:val="superscript"/>
        </w:rPr>
        <w:t>b</w:t>
      </w:r>
      <w:r w:rsidRPr="00790D0C">
        <w:rPr>
          <w:rStyle w:val="Ninguno"/>
          <w:rFonts w:ascii="Arial" w:hAnsi="Arial" w:cs="Arial"/>
          <w:b/>
          <w:bCs/>
          <w:color w:val="auto"/>
          <w:u w:color="000000"/>
        </w:rPr>
        <w:t>, Reyes</w:t>
      </w:r>
      <w:r w:rsidR="000269DA">
        <w:rPr>
          <w:rStyle w:val="Ninguno"/>
          <w:rFonts w:ascii="Arial" w:hAnsi="Arial" w:cs="Arial"/>
          <w:b/>
          <w:bCs/>
          <w:color w:val="auto"/>
          <w:u w:color="000000"/>
        </w:rPr>
        <w:t>-</w:t>
      </w:r>
      <w:r w:rsidR="001226A8">
        <w:rPr>
          <w:rStyle w:val="Ninguno"/>
          <w:rFonts w:ascii="Arial" w:hAnsi="Arial" w:cs="Arial"/>
          <w:b/>
          <w:bCs/>
          <w:color w:val="auto"/>
          <w:u w:color="000000"/>
        </w:rPr>
        <w:t>Zubikarai</w:t>
      </w:r>
      <w:r w:rsidRPr="00790D0C">
        <w:rPr>
          <w:rStyle w:val="Ninguno"/>
          <w:rFonts w:ascii="Arial" w:hAnsi="Arial" w:cs="Arial"/>
          <w:b/>
          <w:bCs/>
          <w:color w:val="auto"/>
          <w:u w:color="000000"/>
        </w:rPr>
        <w:t xml:space="preserve">, </w:t>
      </w:r>
      <w:proofErr w:type="spellStart"/>
      <w:r w:rsidRPr="00790D0C">
        <w:rPr>
          <w:rStyle w:val="Ninguno"/>
          <w:rFonts w:ascii="Arial" w:hAnsi="Arial" w:cs="Arial"/>
          <w:b/>
          <w:bCs/>
          <w:color w:val="auto"/>
          <w:u w:color="000000"/>
        </w:rPr>
        <w:t>Patricio</w:t>
      </w:r>
      <w:r w:rsidRPr="00790D0C">
        <w:rPr>
          <w:rStyle w:val="Ninguno"/>
          <w:rFonts w:ascii="Arial" w:hAnsi="Arial" w:cs="Arial"/>
          <w:b/>
          <w:bCs/>
          <w:color w:val="auto"/>
          <w:u w:color="000000"/>
          <w:vertAlign w:val="superscript"/>
        </w:rPr>
        <w:t>c</w:t>
      </w:r>
      <w:proofErr w:type="spellEnd"/>
      <w:r w:rsidRPr="00790D0C">
        <w:rPr>
          <w:rStyle w:val="Ninguno"/>
          <w:rFonts w:ascii="Arial" w:hAnsi="Arial" w:cs="Arial"/>
          <w:b/>
          <w:bCs/>
          <w:color w:val="auto"/>
          <w:u w:color="000000"/>
        </w:rPr>
        <w:t xml:space="preserve">, Navarro, Clemente </w:t>
      </w:r>
      <w:proofErr w:type="spellStart"/>
      <w:r w:rsidRPr="00790D0C">
        <w:rPr>
          <w:rStyle w:val="Ninguno"/>
          <w:rFonts w:ascii="Arial" w:hAnsi="Arial" w:cs="Arial"/>
          <w:b/>
          <w:bCs/>
          <w:color w:val="auto"/>
          <w:u w:color="000000"/>
        </w:rPr>
        <w:t>J.</w:t>
      </w:r>
      <w:r w:rsidRPr="00790D0C">
        <w:rPr>
          <w:rStyle w:val="Ninguno"/>
          <w:rFonts w:ascii="Arial" w:hAnsi="Arial" w:cs="Arial"/>
          <w:b/>
          <w:bCs/>
          <w:color w:val="auto"/>
          <w:u w:color="000000"/>
          <w:vertAlign w:val="superscript"/>
        </w:rPr>
        <w:t>d</w:t>
      </w:r>
      <w:proofErr w:type="spellEnd"/>
      <w:r w:rsidRPr="00790D0C">
        <w:rPr>
          <w:rStyle w:val="Ninguno"/>
          <w:rFonts w:ascii="Arial" w:hAnsi="Arial" w:cs="Arial"/>
          <w:b/>
          <w:bCs/>
          <w:color w:val="auto"/>
          <w:u w:color="000000"/>
        </w:rPr>
        <w:t xml:space="preserve"> </w:t>
      </w:r>
    </w:p>
    <w:p w14:paraId="4D5CDB41" w14:textId="6C66549C" w:rsidR="00790D0C" w:rsidRPr="00790D0C" w:rsidRDefault="000326B6" w:rsidP="00792440">
      <w:pPr>
        <w:pStyle w:val="Poromisin"/>
        <w:jc w:val="both"/>
        <w:rPr>
          <w:rStyle w:val="Ninguno"/>
          <w:rFonts w:ascii="Arial" w:hAnsi="Arial" w:cs="Arial"/>
          <w:color w:val="auto"/>
          <w:u w:color="000000"/>
        </w:rPr>
      </w:pPr>
      <w:r w:rsidRPr="00790D0C">
        <w:rPr>
          <w:rStyle w:val="Ninguno"/>
          <w:rFonts w:ascii="Arial" w:hAnsi="Arial" w:cs="Arial"/>
          <w:color w:val="auto"/>
          <w:u w:color="000000"/>
          <w:vertAlign w:val="superscript"/>
        </w:rPr>
        <w:t xml:space="preserve">a </w:t>
      </w:r>
      <w:r w:rsidRPr="00790D0C">
        <w:rPr>
          <w:rStyle w:val="Ninguno"/>
          <w:rFonts w:ascii="Arial" w:hAnsi="Arial" w:cs="Arial"/>
          <w:color w:val="auto"/>
          <w:u w:color="000000"/>
        </w:rPr>
        <w:t xml:space="preserve">Departamento de Sociología y Centro de Sociología y Políticas Locales, Universidad Pablo de Olavide, </w:t>
      </w:r>
      <w:r w:rsidRPr="00790D0C">
        <w:rPr>
          <w:rFonts w:ascii="Arial" w:hAnsi="Arial" w:cs="Arial"/>
          <w:color w:val="auto"/>
          <w:u w:color="000000"/>
        </w:rPr>
        <w:t>Avenida Rectora Rosario Valpuesta, número 1.</w:t>
      </w:r>
      <w:r w:rsidR="007227C4">
        <w:rPr>
          <w:rFonts w:ascii="Arial" w:hAnsi="Arial" w:cs="Arial"/>
          <w:color w:val="auto"/>
          <w:u w:color="000000"/>
        </w:rPr>
        <w:t xml:space="preserve"> </w:t>
      </w:r>
      <w:r w:rsidRPr="00790D0C">
        <w:rPr>
          <w:rFonts w:ascii="Arial" w:hAnsi="Arial" w:cs="Arial"/>
          <w:color w:val="auto"/>
          <w:u w:color="000000"/>
        </w:rPr>
        <w:t>41089. Dos Hermanas (Sevilla).</w:t>
      </w:r>
      <w:r w:rsidRPr="00790D0C">
        <w:rPr>
          <w:rStyle w:val="Ninguno"/>
          <w:rFonts w:ascii="Arial" w:hAnsi="Arial" w:cs="Arial"/>
          <w:color w:val="auto"/>
          <w:u w:color="000000"/>
        </w:rPr>
        <w:t xml:space="preserve"> email: </w:t>
      </w:r>
      <w:hyperlink r:id="rId11" w:history="1">
        <w:r w:rsidR="00790D0C" w:rsidRPr="00790D0C">
          <w:rPr>
            <w:rStyle w:val="Hipervnculo"/>
            <w:rFonts w:ascii="Arial" w:hAnsi="Arial" w:cs="Arial"/>
            <w:color w:val="auto"/>
            <w:lang w:val="es-ES_tradnl"/>
          </w:rPr>
          <w:t>mjguemay@upo.es</w:t>
        </w:r>
      </w:hyperlink>
      <w:r w:rsidRPr="00790D0C">
        <w:rPr>
          <w:rStyle w:val="Ninguno"/>
          <w:rFonts w:ascii="Arial" w:hAnsi="Arial" w:cs="Arial"/>
          <w:color w:val="auto"/>
          <w:u w:color="000000"/>
        </w:rPr>
        <w:t xml:space="preserve">; </w:t>
      </w:r>
      <w:r w:rsidRPr="00790D0C">
        <w:rPr>
          <w:rStyle w:val="Ninguno"/>
          <w:rFonts w:ascii="Arial" w:hAnsi="Arial" w:cs="Arial"/>
          <w:color w:val="auto"/>
          <w:u w:color="000000"/>
          <w:vertAlign w:val="superscript"/>
        </w:rPr>
        <w:t xml:space="preserve">b </w:t>
      </w:r>
      <w:r w:rsidR="00790D0C" w:rsidRPr="00790D0C">
        <w:rPr>
          <w:rStyle w:val="Ninguno"/>
          <w:rFonts w:ascii="Arial" w:hAnsi="Arial" w:cs="Arial"/>
          <w:color w:val="auto"/>
          <w:u w:color="000000"/>
        </w:rPr>
        <w:t>Departamento de Sociología y Centro de Sociología y Políticas Locales, U</w:t>
      </w:r>
      <w:r w:rsidR="007227C4">
        <w:rPr>
          <w:rStyle w:val="Ninguno"/>
          <w:rFonts w:ascii="Arial" w:hAnsi="Arial" w:cs="Arial"/>
          <w:color w:val="auto"/>
          <w:u w:color="000000"/>
        </w:rPr>
        <w:t>niversidad Pablo de Olavide</w:t>
      </w:r>
      <w:r w:rsidR="00790D0C" w:rsidRPr="00790D0C">
        <w:rPr>
          <w:rFonts w:ascii="Arial" w:hAnsi="Arial" w:cs="Arial"/>
          <w:color w:val="auto"/>
          <w:u w:color="000000"/>
        </w:rPr>
        <w:t>.</w:t>
      </w:r>
      <w:r w:rsidR="00790D0C" w:rsidRPr="00790D0C">
        <w:rPr>
          <w:rStyle w:val="Ninguno"/>
          <w:rFonts w:ascii="Arial" w:hAnsi="Arial" w:cs="Arial"/>
          <w:color w:val="auto"/>
          <w:u w:color="000000"/>
        </w:rPr>
        <w:t xml:space="preserve"> email: </w:t>
      </w:r>
      <w:hyperlink r:id="rId12" w:history="1">
        <w:r w:rsidR="00790D0C" w:rsidRPr="00790D0C">
          <w:rPr>
            <w:rStyle w:val="Hipervnculo"/>
            <w:rFonts w:ascii="Arial" w:hAnsi="Arial" w:cs="Arial"/>
            <w:color w:val="auto"/>
            <w:lang w:val="es-ES_tradnl"/>
          </w:rPr>
          <w:t>mjdorrub@upo.es</w:t>
        </w:r>
      </w:hyperlink>
      <w:r w:rsidR="00790D0C" w:rsidRPr="00790D0C">
        <w:rPr>
          <w:rStyle w:val="Ninguno"/>
          <w:rFonts w:ascii="Arial" w:hAnsi="Arial" w:cs="Arial"/>
          <w:color w:val="auto"/>
          <w:u w:color="000000"/>
        </w:rPr>
        <w:t xml:space="preserve">; </w:t>
      </w:r>
      <w:r w:rsidR="00790D0C" w:rsidRPr="00790D0C">
        <w:rPr>
          <w:rStyle w:val="Ninguno"/>
          <w:rFonts w:ascii="Arial" w:hAnsi="Arial" w:cs="Arial"/>
          <w:color w:val="auto"/>
          <w:u w:color="000000"/>
          <w:vertAlign w:val="superscript"/>
        </w:rPr>
        <w:t xml:space="preserve">c </w:t>
      </w:r>
      <w:r w:rsidR="00790D0C" w:rsidRPr="00790D0C">
        <w:rPr>
          <w:rStyle w:val="Ninguno"/>
          <w:rFonts w:ascii="Arial" w:hAnsi="Arial" w:cs="Arial"/>
          <w:color w:val="auto"/>
          <w:u w:color="000000"/>
        </w:rPr>
        <w:t xml:space="preserve">Departamento de Sociología y Centro de Sociología y Políticas Locales, Universidad Pablo de Olavide, </w:t>
      </w:r>
      <w:r w:rsidR="007227C4">
        <w:rPr>
          <w:rStyle w:val="Ninguno"/>
          <w:rFonts w:ascii="Arial" w:hAnsi="Arial" w:cs="Arial"/>
          <w:color w:val="auto"/>
          <w:u w:color="000000"/>
        </w:rPr>
        <w:t>ema</w:t>
      </w:r>
      <w:r w:rsidR="00790D0C" w:rsidRPr="00790D0C">
        <w:rPr>
          <w:rStyle w:val="Ninguno"/>
          <w:rFonts w:ascii="Arial" w:hAnsi="Arial" w:cs="Arial"/>
          <w:color w:val="auto"/>
          <w:u w:color="000000"/>
        </w:rPr>
        <w:t xml:space="preserve">il: </w:t>
      </w:r>
      <w:hyperlink r:id="rId13" w:history="1">
        <w:r w:rsidR="00790D0C" w:rsidRPr="00790D0C">
          <w:rPr>
            <w:rStyle w:val="Hipervnculo"/>
            <w:rFonts w:ascii="Arial" w:hAnsi="Arial" w:cs="Arial"/>
            <w:color w:val="auto"/>
            <w:lang w:val="es-ES_tradnl"/>
          </w:rPr>
          <w:t>preyzub@upo.es</w:t>
        </w:r>
      </w:hyperlink>
      <w:r w:rsidR="00790D0C" w:rsidRPr="00790D0C">
        <w:rPr>
          <w:rFonts w:ascii="Arial" w:hAnsi="Arial" w:cs="Arial"/>
          <w:color w:val="auto"/>
          <w:lang w:val="es-ES_tradnl"/>
        </w:rPr>
        <w:t xml:space="preserve">; </w:t>
      </w:r>
      <w:r w:rsidR="00790D0C" w:rsidRPr="00790D0C">
        <w:rPr>
          <w:rStyle w:val="Ninguno"/>
          <w:rFonts w:ascii="Arial" w:hAnsi="Arial" w:cs="Arial"/>
          <w:color w:val="auto"/>
          <w:u w:color="000000"/>
          <w:vertAlign w:val="superscript"/>
        </w:rPr>
        <w:t xml:space="preserve">d </w:t>
      </w:r>
      <w:r w:rsidR="00790D0C" w:rsidRPr="00790D0C">
        <w:rPr>
          <w:rStyle w:val="Ninguno"/>
          <w:rFonts w:ascii="Arial" w:hAnsi="Arial" w:cs="Arial"/>
          <w:color w:val="auto"/>
          <w:u w:color="000000"/>
        </w:rPr>
        <w:t xml:space="preserve">Departamento de Sociología y Centro de Sociología y Políticas Locales, Universidad Pablo de Olavide, email: </w:t>
      </w:r>
      <w:hyperlink r:id="rId14" w:history="1">
        <w:r w:rsidR="00790D0C" w:rsidRPr="00CA772D">
          <w:rPr>
            <w:rStyle w:val="Hipervnculo"/>
            <w:rFonts w:ascii="Arial" w:hAnsi="Arial" w:cs="Arial"/>
            <w:lang w:val="es-ES_tradnl"/>
          </w:rPr>
          <w:t>cnavyan@upo.es</w:t>
        </w:r>
      </w:hyperlink>
      <w:r w:rsidR="00790D0C" w:rsidRPr="00790D0C">
        <w:rPr>
          <w:rStyle w:val="Ninguno"/>
          <w:rFonts w:ascii="Arial" w:hAnsi="Arial" w:cs="Arial"/>
          <w:color w:val="auto"/>
          <w:u w:color="000000"/>
        </w:rPr>
        <w:t xml:space="preserve"> </w:t>
      </w:r>
    </w:p>
    <w:p w14:paraId="1C816EC6" w14:textId="7E541FDB" w:rsidR="00790D0C" w:rsidRPr="00790D0C" w:rsidRDefault="00790D0C" w:rsidP="00792440">
      <w:pPr>
        <w:pStyle w:val="Poromisin"/>
        <w:jc w:val="both"/>
        <w:rPr>
          <w:rStyle w:val="Ninguno"/>
          <w:rFonts w:ascii="Arial" w:hAnsi="Arial" w:cs="Arial"/>
          <w:color w:val="007960"/>
          <w:u w:color="000000"/>
        </w:rPr>
      </w:pPr>
    </w:p>
    <w:p w14:paraId="14CAE783" w14:textId="1C6EA29F" w:rsidR="00B068CE" w:rsidRPr="008069BD" w:rsidRDefault="00B068CE" w:rsidP="00792440">
      <w:pPr>
        <w:pStyle w:val="Cuerpo"/>
        <w:jc w:val="both"/>
        <w:rPr>
          <w:rStyle w:val="Ninguno"/>
          <w:rFonts w:ascii="Arial" w:eastAsia="Arial" w:hAnsi="Arial" w:cs="Arial"/>
          <w:color w:val="auto"/>
          <w:u w:color="000000"/>
        </w:rPr>
      </w:pPr>
      <w:r w:rsidRPr="008069BD">
        <w:rPr>
          <w:rStyle w:val="Ninguno"/>
          <w:rFonts w:ascii="Arial" w:hAnsi="Arial" w:cs="Arial"/>
          <w:b/>
          <w:bCs/>
          <w:u w:color="000000"/>
        </w:rPr>
        <w:t>Palabras clave:</w:t>
      </w:r>
      <w:r w:rsidRPr="008069BD">
        <w:rPr>
          <w:rStyle w:val="Ninguno"/>
          <w:rFonts w:ascii="Arial" w:hAnsi="Arial" w:cs="Arial"/>
          <w:u w:color="000000"/>
        </w:rPr>
        <w:t xml:space="preserve"> </w:t>
      </w:r>
      <w:r w:rsidR="008069BD" w:rsidRPr="008069BD">
        <w:rPr>
          <w:rStyle w:val="Ninguno"/>
          <w:rFonts w:ascii="Arial" w:eastAsiaTheme="minorHAnsi" w:hAnsi="Arial" w:cs="Arial"/>
          <w:bCs/>
          <w:color w:val="auto"/>
          <w:kern w:val="2"/>
          <w:u w:color="000000"/>
          <w:bdr w:val="none" w:sz="0" w:space="0" w:color="auto"/>
          <w14:ligatures w14:val="standardContextual"/>
        </w:rPr>
        <w:t>evaluación de políticas públicas, integralidad, análisis de redes, Agendas Urbanas, EDUSI</w:t>
      </w:r>
    </w:p>
    <w:p w14:paraId="72CAA816" w14:textId="77777777" w:rsidR="00037388" w:rsidRDefault="00037388" w:rsidP="00792440">
      <w:pPr>
        <w:jc w:val="both"/>
        <w:rPr>
          <w:rFonts w:ascii="Arial" w:hAnsi="Arial" w:cs="Arial"/>
          <w:b/>
          <w:bCs/>
        </w:rPr>
      </w:pPr>
    </w:p>
    <w:p w14:paraId="472046A9" w14:textId="2FBCA31F" w:rsidR="00B068CE" w:rsidRPr="008069BD" w:rsidRDefault="00B068CE" w:rsidP="00792440">
      <w:pPr>
        <w:jc w:val="both"/>
        <w:rPr>
          <w:rFonts w:ascii="Arial" w:hAnsi="Arial" w:cs="Arial"/>
          <w:b/>
          <w:bCs/>
        </w:rPr>
      </w:pPr>
      <w:r w:rsidRPr="008069BD">
        <w:rPr>
          <w:rFonts w:ascii="Arial" w:hAnsi="Arial" w:cs="Arial"/>
          <w:b/>
          <w:bCs/>
        </w:rPr>
        <w:t>Grupo de trabajo</w:t>
      </w:r>
      <w:r w:rsidR="00491A43" w:rsidRPr="008069BD">
        <w:rPr>
          <w:rFonts w:ascii="Arial" w:hAnsi="Arial" w:cs="Arial"/>
          <w:b/>
          <w:bCs/>
        </w:rPr>
        <w:t>:</w:t>
      </w:r>
      <w:r w:rsidRPr="008069BD">
        <w:rPr>
          <w:rFonts w:ascii="Arial" w:hAnsi="Arial" w:cs="Arial"/>
          <w:b/>
          <w:bCs/>
        </w:rPr>
        <w:t xml:space="preserve"> </w:t>
      </w:r>
      <w:r w:rsidR="000326B6">
        <w:rPr>
          <w:rFonts w:ascii="Arial" w:hAnsi="Arial" w:cs="Arial"/>
          <w:b/>
          <w:bCs/>
        </w:rPr>
        <w:t xml:space="preserve">GT5. </w:t>
      </w:r>
      <w:r w:rsidR="008069BD">
        <w:rPr>
          <w:rFonts w:ascii="Arial" w:hAnsi="Arial" w:cs="Arial"/>
          <w:b/>
          <w:bCs/>
        </w:rPr>
        <w:t>Sociología Urbana</w:t>
      </w:r>
    </w:p>
    <w:p w14:paraId="3C439278" w14:textId="77777777" w:rsidR="00B068CE" w:rsidRPr="008069BD" w:rsidRDefault="00B068CE" w:rsidP="00792440">
      <w:pPr>
        <w:jc w:val="both"/>
        <w:rPr>
          <w:rFonts w:ascii="Arial" w:hAnsi="Arial" w:cs="Arial"/>
        </w:rPr>
      </w:pPr>
    </w:p>
    <w:p w14:paraId="1361342C" w14:textId="77777777" w:rsidR="008069BD" w:rsidRPr="00DA5A87" w:rsidRDefault="008069BD" w:rsidP="00792440">
      <w:pPr>
        <w:jc w:val="both"/>
        <w:rPr>
          <w:rFonts w:ascii="Arial" w:hAnsi="Arial" w:cs="Arial"/>
          <w:b/>
          <w:bCs/>
        </w:rPr>
      </w:pPr>
      <w:r w:rsidRPr="00DA5A87">
        <w:rPr>
          <w:rFonts w:ascii="Arial" w:hAnsi="Arial" w:cs="Arial"/>
          <w:b/>
          <w:bCs/>
        </w:rPr>
        <w:t>1) Introducción: presentación y objetivos</w:t>
      </w:r>
    </w:p>
    <w:p w14:paraId="02E77FF7" w14:textId="3D9AA7F0" w:rsidR="008069BD" w:rsidRPr="00DA5A87" w:rsidRDefault="008069BD" w:rsidP="00792440">
      <w:pPr>
        <w:jc w:val="both"/>
        <w:rPr>
          <w:rFonts w:ascii="Arial" w:hAnsi="Arial" w:cs="Arial"/>
        </w:rPr>
      </w:pPr>
      <w:r w:rsidRPr="00DA5A87">
        <w:rPr>
          <w:rFonts w:ascii="Arial" w:hAnsi="Arial" w:cs="Arial"/>
        </w:rPr>
        <w:t xml:space="preserve">En un contexto de creciente complejidad de las políticas urbanas y de necesidad de fortalecer el aprendizaje institucional y una nueva gobernanza pública (Barbosa, 2023), presentamos </w:t>
      </w:r>
      <w:proofErr w:type="spellStart"/>
      <w:r w:rsidRPr="00DA5A87">
        <w:rPr>
          <w:rFonts w:ascii="Arial" w:hAnsi="Arial" w:cs="Arial"/>
        </w:rPr>
        <w:t>eCUPPA</w:t>
      </w:r>
      <w:proofErr w:type="spellEnd"/>
      <w:r w:rsidRPr="00DA5A87">
        <w:rPr>
          <w:rFonts w:ascii="Arial" w:hAnsi="Arial" w:cs="Arial"/>
        </w:rPr>
        <w:t xml:space="preserve"> (</w:t>
      </w:r>
      <w:r w:rsidRPr="00DA5A87">
        <w:rPr>
          <w:rFonts w:ascii="Arial" w:hAnsi="Arial" w:cs="Arial"/>
          <w:i/>
        </w:rPr>
        <w:t xml:space="preserve">Comparative Urban Policy </w:t>
      </w:r>
      <w:proofErr w:type="gramStart"/>
      <w:r w:rsidRPr="00DA5A87">
        <w:rPr>
          <w:rFonts w:ascii="Arial" w:hAnsi="Arial" w:cs="Arial"/>
          <w:i/>
        </w:rPr>
        <w:t>Portfolio</w:t>
      </w:r>
      <w:proofErr w:type="gramEnd"/>
      <w:r w:rsidRPr="00DA5A87">
        <w:rPr>
          <w:rFonts w:ascii="Arial" w:hAnsi="Arial" w:cs="Arial"/>
          <w:i/>
        </w:rPr>
        <w:t xml:space="preserve"> </w:t>
      </w:r>
      <w:proofErr w:type="spellStart"/>
      <w:r w:rsidRPr="00DA5A87">
        <w:rPr>
          <w:rFonts w:ascii="Arial" w:hAnsi="Arial" w:cs="Arial"/>
          <w:i/>
        </w:rPr>
        <w:t>Analysis</w:t>
      </w:r>
      <w:proofErr w:type="spellEnd"/>
      <w:r w:rsidRPr="00DA5A87">
        <w:rPr>
          <w:rFonts w:ascii="Arial" w:hAnsi="Arial" w:cs="Arial"/>
        </w:rPr>
        <w:t>), una plataforma digital diseñada para el análisis comparado de políticas, programas o proyectos de desarrollo socioespacial a escala local desde una lógica de integración de políticas y evaluación orientada teóricamente</w:t>
      </w:r>
      <w:r w:rsidRPr="00DA5A87">
        <w:rPr>
          <w:rStyle w:val="Refdenotaalpie"/>
          <w:rFonts w:ascii="Arial" w:hAnsi="Arial" w:cs="Arial"/>
        </w:rPr>
        <w:footnoteReference w:id="1"/>
      </w:r>
      <w:r w:rsidRPr="00DA5A87">
        <w:rPr>
          <w:rFonts w:ascii="Arial" w:hAnsi="Arial" w:cs="Arial"/>
        </w:rPr>
        <w:t>.</w:t>
      </w:r>
    </w:p>
    <w:p w14:paraId="0624E9CC" w14:textId="297999BE" w:rsidR="008069BD" w:rsidRPr="00DA5A87" w:rsidRDefault="008069BD" w:rsidP="00792440">
      <w:pPr>
        <w:jc w:val="both"/>
        <w:rPr>
          <w:rFonts w:ascii="Arial" w:hAnsi="Arial" w:cs="Arial"/>
        </w:rPr>
      </w:pPr>
      <w:r w:rsidRPr="00DA5A87">
        <w:rPr>
          <w:rFonts w:ascii="Arial" w:hAnsi="Arial" w:cs="Arial"/>
        </w:rPr>
        <w:t xml:space="preserve">La herramienta ha sido diseñada y validada por el Centro de Sociología y Políticas Locales – </w:t>
      </w:r>
      <w:r w:rsidRPr="00DA5A87">
        <w:rPr>
          <w:rFonts w:ascii="Arial" w:hAnsi="Arial" w:cs="Arial"/>
          <w:i/>
        </w:rPr>
        <w:t xml:space="preserve">The Urban </w:t>
      </w:r>
      <w:proofErr w:type="spellStart"/>
      <w:r w:rsidRPr="00DA5A87">
        <w:rPr>
          <w:rFonts w:ascii="Arial" w:hAnsi="Arial" w:cs="Arial"/>
          <w:i/>
        </w:rPr>
        <w:t>Governance</w:t>
      </w:r>
      <w:proofErr w:type="spellEnd"/>
      <w:r w:rsidRPr="00DA5A87">
        <w:rPr>
          <w:rFonts w:ascii="Arial" w:hAnsi="Arial" w:cs="Arial"/>
          <w:i/>
        </w:rPr>
        <w:t xml:space="preserve"> Lab</w:t>
      </w:r>
      <w:r w:rsidRPr="00DA5A87">
        <w:rPr>
          <w:rFonts w:ascii="Arial" w:hAnsi="Arial" w:cs="Arial"/>
        </w:rPr>
        <w:t xml:space="preserve"> - de la U</w:t>
      </w:r>
      <w:r w:rsidR="00F77E8D">
        <w:rPr>
          <w:rFonts w:ascii="Arial" w:hAnsi="Arial" w:cs="Arial"/>
        </w:rPr>
        <w:t>PO</w:t>
      </w:r>
      <w:r w:rsidRPr="00DA5A87">
        <w:rPr>
          <w:rFonts w:ascii="Arial" w:hAnsi="Arial" w:cs="Arial"/>
        </w:rPr>
        <w:t xml:space="preserve"> mediante procesos de investigación y </w:t>
      </w:r>
      <w:proofErr w:type="spellStart"/>
      <w:r w:rsidRPr="00DA5A87">
        <w:rPr>
          <w:rFonts w:ascii="Arial" w:hAnsi="Arial" w:cs="Arial"/>
        </w:rPr>
        <w:t>co-creación</w:t>
      </w:r>
      <w:proofErr w:type="spellEnd"/>
      <w:r w:rsidRPr="00DA5A87">
        <w:rPr>
          <w:rFonts w:ascii="Arial" w:hAnsi="Arial" w:cs="Arial"/>
        </w:rPr>
        <w:t xml:space="preserve"> con agentes implicados en el diseño, implementación y evaluación de políticas públicas. </w:t>
      </w:r>
    </w:p>
    <w:p w14:paraId="5129DA07" w14:textId="2F91A81C" w:rsidR="008069BD" w:rsidRPr="00DA5A87" w:rsidRDefault="008069BD" w:rsidP="00792440">
      <w:pPr>
        <w:jc w:val="both"/>
        <w:rPr>
          <w:rFonts w:ascii="Arial" w:hAnsi="Arial" w:cs="Arial"/>
        </w:rPr>
      </w:pPr>
      <w:r w:rsidRPr="00DA5A87">
        <w:rPr>
          <w:rFonts w:ascii="Arial" w:hAnsi="Arial" w:cs="Arial"/>
        </w:rPr>
        <w:t xml:space="preserve">El objetivo general de esta comunicación es mostrar la aplicabilidad de </w:t>
      </w:r>
      <w:proofErr w:type="spellStart"/>
      <w:r w:rsidRPr="00DA5A87">
        <w:rPr>
          <w:rFonts w:ascii="Arial" w:hAnsi="Arial" w:cs="Arial"/>
        </w:rPr>
        <w:t>eCUPPA</w:t>
      </w:r>
      <w:proofErr w:type="spellEnd"/>
      <w:r w:rsidRPr="00DA5A87">
        <w:rPr>
          <w:rFonts w:ascii="Arial" w:hAnsi="Arial" w:cs="Arial"/>
        </w:rPr>
        <w:t xml:space="preserve">, evidenciando cómo genera análisis útiles para la toma de decisiones a lo largo del ciclo de vida de una política. </w:t>
      </w:r>
      <w:r w:rsidR="00792440">
        <w:rPr>
          <w:rFonts w:ascii="Arial" w:hAnsi="Arial" w:cs="Arial"/>
        </w:rPr>
        <w:t>M</w:t>
      </w:r>
      <w:r w:rsidRPr="00DA5A87">
        <w:rPr>
          <w:rFonts w:ascii="Arial" w:hAnsi="Arial" w:cs="Arial"/>
        </w:rPr>
        <w:t>ás específica</w:t>
      </w:r>
      <w:r w:rsidR="00792440">
        <w:rPr>
          <w:rFonts w:ascii="Arial" w:hAnsi="Arial" w:cs="Arial"/>
        </w:rPr>
        <w:t>mente</w:t>
      </w:r>
      <w:r w:rsidRPr="00DA5A87">
        <w:rPr>
          <w:rFonts w:ascii="Arial" w:hAnsi="Arial" w:cs="Arial"/>
        </w:rPr>
        <w:t xml:space="preserve">, se muestran resultados </w:t>
      </w:r>
      <w:r w:rsidR="00792440">
        <w:rPr>
          <w:rFonts w:ascii="Arial" w:hAnsi="Arial" w:cs="Arial"/>
        </w:rPr>
        <w:t xml:space="preserve">obtenidos en el </w:t>
      </w:r>
      <w:r w:rsidRPr="00DA5A87">
        <w:rPr>
          <w:rFonts w:ascii="Arial" w:hAnsi="Arial" w:cs="Arial"/>
        </w:rPr>
        <w:t>análisis</w:t>
      </w:r>
      <w:r w:rsidR="00792440">
        <w:rPr>
          <w:rFonts w:ascii="Arial" w:hAnsi="Arial" w:cs="Arial"/>
        </w:rPr>
        <w:t xml:space="preserve"> de las </w:t>
      </w:r>
      <w:r w:rsidRPr="00DA5A87">
        <w:rPr>
          <w:rFonts w:ascii="Arial" w:hAnsi="Arial" w:cs="Arial"/>
        </w:rPr>
        <w:t xml:space="preserve">EDUSI (Estrategias de Desarrollo Urbano Sostenible Integrado) en </w:t>
      </w:r>
      <w:r w:rsidRPr="00DA5A87">
        <w:rPr>
          <w:rFonts w:ascii="Arial" w:hAnsi="Arial" w:cs="Arial"/>
        </w:rPr>
        <w:lastRenderedPageBreak/>
        <w:t>ciudades españolas de más de 100.000 habitantes, poniendo el foco en la complementariedad entre objetivos y actuaciones.</w:t>
      </w:r>
    </w:p>
    <w:p w14:paraId="4D9E21BD" w14:textId="216D0E21" w:rsidR="008069BD" w:rsidRPr="00DA5A87" w:rsidRDefault="008069BD" w:rsidP="00792440">
      <w:pPr>
        <w:jc w:val="both"/>
        <w:rPr>
          <w:rFonts w:ascii="Arial" w:hAnsi="Arial" w:cs="Arial"/>
          <w:noProof/>
        </w:rPr>
      </w:pPr>
      <w:r w:rsidRPr="00DA5A87">
        <w:rPr>
          <w:rFonts w:ascii="Arial" w:hAnsi="Arial" w:cs="Arial"/>
        </w:rPr>
        <w:t xml:space="preserve">Para ello, en primer lugar, se describe la lógica teórico-metodológica de </w:t>
      </w:r>
      <w:proofErr w:type="spellStart"/>
      <w:r w:rsidRPr="00DA5A87">
        <w:rPr>
          <w:rFonts w:ascii="Arial" w:hAnsi="Arial" w:cs="Arial"/>
        </w:rPr>
        <w:t>eCUPPA</w:t>
      </w:r>
      <w:proofErr w:type="spellEnd"/>
      <w:r w:rsidRPr="00DA5A87">
        <w:rPr>
          <w:rFonts w:ascii="Arial" w:hAnsi="Arial" w:cs="Arial"/>
        </w:rPr>
        <w:t xml:space="preserve"> y su traducción operativa en módulos de análisis cuyos productos analíticos e informes automatizados facilitan la evaluación</w:t>
      </w:r>
      <w:r w:rsidR="007227C4">
        <w:rPr>
          <w:rFonts w:ascii="Arial" w:hAnsi="Arial" w:cs="Arial"/>
        </w:rPr>
        <w:t xml:space="preserve"> y </w:t>
      </w:r>
      <w:r w:rsidRPr="00DA5A87">
        <w:rPr>
          <w:rFonts w:ascii="Arial" w:hAnsi="Arial" w:cs="Arial"/>
        </w:rPr>
        <w:t xml:space="preserve">el seguimiento. En segundo lugar, </w:t>
      </w:r>
      <w:proofErr w:type="spellStart"/>
      <w:r w:rsidRPr="00DA5A87">
        <w:rPr>
          <w:rFonts w:ascii="Arial" w:hAnsi="Arial" w:cs="Arial"/>
        </w:rPr>
        <w:t>eCUPPA</w:t>
      </w:r>
      <w:proofErr w:type="spellEnd"/>
      <w:r w:rsidRPr="00DA5A87">
        <w:rPr>
          <w:rFonts w:ascii="Arial" w:hAnsi="Arial" w:cs="Arial"/>
        </w:rPr>
        <w:t xml:space="preserve"> se aplica a proyectos EDUSI para analizar la integralidad y valorar capacidades institucionales y redes de colaboración.</w:t>
      </w:r>
      <w:r w:rsidRPr="00DA5A87">
        <w:rPr>
          <w:rFonts w:ascii="Arial" w:hAnsi="Arial" w:cs="Arial"/>
          <w:noProof/>
        </w:rPr>
        <w:t xml:space="preserve"> </w:t>
      </w:r>
    </w:p>
    <w:p w14:paraId="46812D18" w14:textId="77777777" w:rsidR="008069BD" w:rsidRPr="00DA5A87" w:rsidRDefault="008069BD" w:rsidP="00792440">
      <w:pPr>
        <w:jc w:val="both"/>
        <w:rPr>
          <w:rFonts w:ascii="Arial" w:hAnsi="Arial" w:cs="Arial"/>
          <w:b/>
          <w:bCs/>
        </w:rPr>
      </w:pPr>
      <w:r w:rsidRPr="00DA5A87">
        <w:rPr>
          <w:rFonts w:ascii="Arial" w:hAnsi="Arial" w:cs="Arial"/>
          <w:b/>
          <w:bCs/>
        </w:rPr>
        <w:t>2) Planteamiento teórico</w:t>
      </w:r>
      <w:r w:rsidRPr="00DA5A87">
        <w:rPr>
          <w:rFonts w:ascii="Arial" w:hAnsi="Arial" w:cs="Arial"/>
          <w:b/>
          <w:bCs/>
        </w:rPr>
        <w:noBreakHyphen/>
        <w:t>metodológico</w:t>
      </w:r>
    </w:p>
    <w:p w14:paraId="64ABDEF6" w14:textId="77777777" w:rsidR="008069BD" w:rsidRPr="00DA5A87" w:rsidRDefault="008069BD" w:rsidP="00792440">
      <w:pPr>
        <w:jc w:val="both"/>
        <w:rPr>
          <w:rFonts w:ascii="Arial" w:hAnsi="Arial" w:cs="Arial"/>
        </w:rPr>
      </w:pPr>
      <w:proofErr w:type="spellStart"/>
      <w:r w:rsidRPr="00DA5A87">
        <w:rPr>
          <w:rFonts w:ascii="Arial" w:hAnsi="Arial" w:cs="Arial"/>
        </w:rPr>
        <w:t>eCUPPA</w:t>
      </w:r>
      <w:proofErr w:type="spellEnd"/>
      <w:r w:rsidRPr="00DA5A87">
        <w:rPr>
          <w:rFonts w:ascii="Arial" w:hAnsi="Arial" w:cs="Arial"/>
        </w:rPr>
        <w:t xml:space="preserve"> se sustenta en la concepción de las políticas urbanas como </w:t>
      </w:r>
      <w:proofErr w:type="spellStart"/>
      <w:r w:rsidRPr="00DA5A87">
        <w:rPr>
          <w:rFonts w:ascii="Arial" w:hAnsi="Arial" w:cs="Arial"/>
          <w:i/>
          <w:iCs/>
        </w:rPr>
        <w:t>multi</w:t>
      </w:r>
      <w:r w:rsidRPr="00DA5A87">
        <w:rPr>
          <w:rFonts w:ascii="Arial" w:hAnsi="Arial" w:cs="Arial"/>
          <w:i/>
          <w:iCs/>
        </w:rPr>
        <w:noBreakHyphen/>
        <w:t>level</w:t>
      </w:r>
      <w:proofErr w:type="spellEnd"/>
      <w:r w:rsidRPr="00DA5A87">
        <w:rPr>
          <w:rFonts w:ascii="Arial" w:hAnsi="Arial" w:cs="Arial"/>
          <w:i/>
          <w:iCs/>
        </w:rPr>
        <w:t xml:space="preserve"> </w:t>
      </w:r>
      <w:proofErr w:type="spellStart"/>
      <w:r w:rsidRPr="00DA5A87">
        <w:rPr>
          <w:rFonts w:ascii="Arial" w:hAnsi="Arial" w:cs="Arial"/>
          <w:i/>
          <w:iCs/>
        </w:rPr>
        <w:t>policy</w:t>
      </w:r>
      <w:proofErr w:type="spellEnd"/>
      <w:r w:rsidRPr="00DA5A87">
        <w:rPr>
          <w:rFonts w:ascii="Arial" w:hAnsi="Arial" w:cs="Arial"/>
          <w:i/>
          <w:iCs/>
        </w:rPr>
        <w:t xml:space="preserve"> mixes</w:t>
      </w:r>
      <w:r w:rsidRPr="00DA5A87">
        <w:rPr>
          <w:rFonts w:ascii="Arial" w:hAnsi="Arial" w:cs="Arial"/>
        </w:rPr>
        <w:t xml:space="preserve">: combinaciones específicas de actuaciones según diferentes objetivos, targets y </w:t>
      </w:r>
      <w:proofErr w:type="spellStart"/>
      <w:r w:rsidRPr="00DA5A87">
        <w:rPr>
          <w:rFonts w:ascii="Arial" w:hAnsi="Arial" w:cs="Arial"/>
          <w:i/>
          <w:iCs/>
        </w:rPr>
        <w:t>policy</w:t>
      </w:r>
      <w:proofErr w:type="spellEnd"/>
      <w:r w:rsidRPr="00DA5A87">
        <w:rPr>
          <w:rFonts w:ascii="Arial" w:hAnsi="Arial" w:cs="Arial"/>
          <w:i/>
          <w:iCs/>
        </w:rPr>
        <w:t xml:space="preserve"> </w:t>
      </w:r>
      <w:proofErr w:type="spellStart"/>
      <w:r w:rsidRPr="00DA5A87">
        <w:rPr>
          <w:rFonts w:ascii="Arial" w:hAnsi="Arial" w:cs="Arial"/>
          <w:i/>
          <w:iCs/>
        </w:rPr>
        <w:t>tools</w:t>
      </w:r>
      <w:proofErr w:type="spellEnd"/>
      <w:r w:rsidRPr="00DA5A87">
        <w:rPr>
          <w:rFonts w:ascii="Arial" w:hAnsi="Arial" w:cs="Arial"/>
        </w:rPr>
        <w:t xml:space="preserve"> en un proyecto que se desarrolla en el marco de un programa o política más general (normalmente de ámbito </w:t>
      </w:r>
      <w:proofErr w:type="spellStart"/>
      <w:proofErr w:type="gramStart"/>
      <w:r w:rsidRPr="00DA5A87">
        <w:rPr>
          <w:rFonts w:ascii="Arial" w:hAnsi="Arial" w:cs="Arial"/>
        </w:rPr>
        <w:t>supra-municipal</w:t>
      </w:r>
      <w:proofErr w:type="spellEnd"/>
      <w:proofErr w:type="gramEnd"/>
      <w:r w:rsidRPr="00DA5A87">
        <w:rPr>
          <w:rFonts w:ascii="Arial" w:hAnsi="Arial" w:cs="Arial"/>
        </w:rPr>
        <w:t xml:space="preserve">), donde cada combinación expresa una estrategia de intervención con mecanismos causales explícitos que conectan lo planificado con sus resultados. Cada combinación supone una estrategia de intervención de carácter integrado, a la que subyace ‘una teoría’ que pretende convertir los objetivos en resultados a través de actuaciones. Por tanto, ésta ha de analizarse a partir de los mecanismos causales que subyacen a las actuaciones. Frente a la “caja negra”, esta herramienta promueve una evaluación teóricamente orientada que permite analizar cómo (prospectivamente o </w:t>
      </w:r>
      <w:proofErr w:type="spellStart"/>
      <w:r w:rsidRPr="00DA5A87">
        <w:rPr>
          <w:rFonts w:ascii="Arial" w:hAnsi="Arial" w:cs="Arial"/>
        </w:rPr>
        <w:t>exante</w:t>
      </w:r>
      <w:proofErr w:type="spellEnd"/>
      <w:r w:rsidRPr="00DA5A87">
        <w:rPr>
          <w:rFonts w:ascii="Arial" w:hAnsi="Arial" w:cs="Arial"/>
        </w:rPr>
        <w:t xml:space="preserve">) o por qué (retrospectivamente o </w:t>
      </w:r>
      <w:proofErr w:type="spellStart"/>
      <w:r w:rsidRPr="00DA5A87">
        <w:rPr>
          <w:rFonts w:ascii="Arial" w:hAnsi="Arial" w:cs="Arial"/>
        </w:rPr>
        <w:t>expost</w:t>
      </w:r>
      <w:proofErr w:type="spellEnd"/>
      <w:r w:rsidRPr="00DA5A87">
        <w:rPr>
          <w:rFonts w:ascii="Arial" w:hAnsi="Arial" w:cs="Arial"/>
        </w:rPr>
        <w:t>), se conectan objetivos y resultados. Una vez identificada cómo funciona la intervención y qué resultados pretende lograr o se han logrado, se puede construir el modelo teórico del programa, es decir, identificar los mecanismos que conducen al logro de los objetivos.</w:t>
      </w:r>
    </w:p>
    <w:p w14:paraId="30957D20" w14:textId="77777777" w:rsidR="008069BD" w:rsidRPr="00DA5A87" w:rsidRDefault="008069BD" w:rsidP="00792440">
      <w:pPr>
        <w:jc w:val="both"/>
        <w:rPr>
          <w:rFonts w:ascii="Arial" w:hAnsi="Arial" w:cs="Arial"/>
        </w:rPr>
      </w:pPr>
      <w:r w:rsidRPr="00DA5A87">
        <w:rPr>
          <w:rFonts w:ascii="Arial" w:hAnsi="Arial" w:cs="Arial"/>
        </w:rPr>
        <w:t xml:space="preserve">Se trata de analizar y evaluar comparativamente este tipo de iniciativas, desde el nivel de las actuaciones de proyectos específicos al de una política en su conjunto. Ello implica ‘descomponer’ los proyectos en sus ‘unidades mínimas’ (actuaciones) para ‘reconstruir’ analíticamente su estrategia y comprende cómo cada elemento contribuye a los objetivos generales. La propuesta consiste, por tanto, en analizar los proyectos de abajo a arriba empleando categorías de análisis teóricamente fundamentadas, mediante un exhaustivo análisis de contenido, y aplicables a diferentes tipos de iniciativas, lo que permite garantizar comparaciones válidas entre proyectos y políticas a lo largo del tiempo. </w:t>
      </w:r>
    </w:p>
    <w:p w14:paraId="71EE14D5" w14:textId="3B8920EE" w:rsidR="008069BD" w:rsidRPr="00DA5A87" w:rsidRDefault="008069BD" w:rsidP="00792440">
      <w:pPr>
        <w:jc w:val="both"/>
        <w:rPr>
          <w:rFonts w:ascii="Arial" w:hAnsi="Arial" w:cs="Arial"/>
        </w:rPr>
      </w:pPr>
      <w:r w:rsidRPr="00DA5A87">
        <w:rPr>
          <w:rFonts w:ascii="Arial" w:hAnsi="Arial" w:cs="Arial"/>
        </w:rPr>
        <w:t xml:space="preserve">Para facilitar este proceso de indagación, </w:t>
      </w:r>
      <w:proofErr w:type="spellStart"/>
      <w:r w:rsidRPr="00DA5A87">
        <w:rPr>
          <w:rFonts w:ascii="Arial" w:hAnsi="Arial" w:cs="Arial"/>
        </w:rPr>
        <w:t>eCUPPA</w:t>
      </w:r>
      <w:proofErr w:type="spellEnd"/>
      <w:r w:rsidRPr="00DA5A87">
        <w:rPr>
          <w:rFonts w:ascii="Arial" w:hAnsi="Arial" w:cs="Arial"/>
        </w:rPr>
        <w:t xml:space="preserve"> se articula en </w:t>
      </w:r>
      <w:r w:rsidR="007C213F">
        <w:rPr>
          <w:rFonts w:ascii="Arial" w:hAnsi="Arial" w:cs="Arial"/>
        </w:rPr>
        <w:t xml:space="preserve">los siguientes </w:t>
      </w:r>
      <w:r w:rsidRPr="00DA5A87">
        <w:rPr>
          <w:rFonts w:ascii="Arial" w:hAnsi="Arial" w:cs="Arial"/>
        </w:rPr>
        <w:t xml:space="preserve">módulos que agrupan diferentes dimensiones que configuran una política. </w:t>
      </w:r>
    </w:p>
    <w:p w14:paraId="55A211E9" w14:textId="4D4AB819" w:rsidR="008069BD" w:rsidRPr="00DA5A87" w:rsidRDefault="008069BD" w:rsidP="007C213F">
      <w:pPr>
        <w:numPr>
          <w:ilvl w:val="0"/>
          <w:numId w:val="7"/>
        </w:numPr>
        <w:spacing w:line="278" w:lineRule="auto"/>
        <w:jc w:val="both"/>
        <w:rPr>
          <w:rFonts w:ascii="Arial" w:hAnsi="Arial" w:cs="Arial"/>
        </w:rPr>
      </w:pPr>
      <w:r w:rsidRPr="00DA5A87">
        <w:rPr>
          <w:rFonts w:ascii="Arial" w:hAnsi="Arial" w:cs="Arial"/>
        </w:rPr>
        <w:t xml:space="preserve">Caracterización de la iniciativa: definición multiescalar de retos, objetivos y actuaciones, situando el proyecto en su programa/política marco. </w:t>
      </w:r>
    </w:p>
    <w:p w14:paraId="4595EC17" w14:textId="7B1BBA45" w:rsidR="008069BD" w:rsidRPr="00DA5A87" w:rsidRDefault="008069BD" w:rsidP="007C213F">
      <w:pPr>
        <w:numPr>
          <w:ilvl w:val="0"/>
          <w:numId w:val="7"/>
        </w:numPr>
        <w:spacing w:line="278" w:lineRule="auto"/>
        <w:jc w:val="both"/>
        <w:rPr>
          <w:rFonts w:ascii="Arial" w:hAnsi="Arial" w:cs="Arial"/>
        </w:rPr>
      </w:pPr>
      <w:r w:rsidRPr="00DA5A87">
        <w:rPr>
          <w:rFonts w:ascii="Arial" w:hAnsi="Arial" w:cs="Arial"/>
        </w:rPr>
        <w:t xml:space="preserve">Calidad del diseño: evaluación del proceso de planificación (diagnóstico, coherencia interna y externa, </w:t>
      </w:r>
      <w:proofErr w:type="spellStart"/>
      <w:r w:rsidRPr="00DA5A87">
        <w:rPr>
          <w:rFonts w:ascii="Arial" w:hAnsi="Arial" w:cs="Arial"/>
        </w:rPr>
        <w:t>evaluabilidad</w:t>
      </w:r>
      <w:proofErr w:type="spellEnd"/>
      <w:r w:rsidRPr="00DA5A87">
        <w:rPr>
          <w:rFonts w:ascii="Arial" w:hAnsi="Arial" w:cs="Arial"/>
        </w:rPr>
        <w:t>, complementariedad) con niveles de calidad y “áreas de mejora prioritaria”.</w:t>
      </w:r>
    </w:p>
    <w:p w14:paraId="238EFD08" w14:textId="4AF42047" w:rsidR="008069BD" w:rsidRPr="00DA5A87" w:rsidRDefault="008069BD" w:rsidP="007C213F">
      <w:pPr>
        <w:numPr>
          <w:ilvl w:val="0"/>
          <w:numId w:val="7"/>
        </w:numPr>
        <w:spacing w:line="278" w:lineRule="auto"/>
        <w:jc w:val="both"/>
        <w:rPr>
          <w:rFonts w:ascii="Arial" w:hAnsi="Arial" w:cs="Arial"/>
        </w:rPr>
      </w:pPr>
      <w:r w:rsidRPr="00DA5A87">
        <w:rPr>
          <w:rFonts w:ascii="Arial" w:hAnsi="Arial" w:cs="Arial"/>
        </w:rPr>
        <w:t>Lógica de intervención: análisis de la agenda (diversidad) y red de implementación (integración) con mapas y métricas, densidad, cohesión, centralidad/relevancia y estabilidad de objetivos y actuaciones.</w:t>
      </w:r>
    </w:p>
    <w:p w14:paraId="3F8DEB1B" w14:textId="17E346FF" w:rsidR="008069BD" w:rsidRPr="00DA5A87" w:rsidRDefault="008069BD" w:rsidP="007C213F">
      <w:pPr>
        <w:numPr>
          <w:ilvl w:val="0"/>
          <w:numId w:val="7"/>
        </w:numPr>
        <w:spacing w:line="278" w:lineRule="auto"/>
        <w:jc w:val="both"/>
        <w:rPr>
          <w:rFonts w:ascii="Arial" w:hAnsi="Arial" w:cs="Arial"/>
        </w:rPr>
      </w:pPr>
      <w:r w:rsidRPr="00DA5A87">
        <w:rPr>
          <w:rFonts w:ascii="Arial" w:hAnsi="Arial" w:cs="Arial"/>
        </w:rPr>
        <w:t xml:space="preserve">Evaluación teóricamente orientada: análisis de contribuciones y atribuciones entre actuaciones y logro de objetivos (cálculo de esfuerzos, logros e índices de </w:t>
      </w:r>
      <w:r w:rsidRPr="00DA5A87">
        <w:rPr>
          <w:rFonts w:ascii="Arial" w:hAnsi="Arial" w:cs="Arial"/>
        </w:rPr>
        <w:lastRenderedPageBreak/>
        <w:t>performance, y matrices de contribución/atribución para contrastar si lo ejecutado explica razonablemente los resultados).</w:t>
      </w:r>
    </w:p>
    <w:p w14:paraId="4281446C" w14:textId="63E85334" w:rsidR="008069BD" w:rsidRPr="00DA5A87" w:rsidRDefault="008069BD" w:rsidP="007C213F">
      <w:pPr>
        <w:numPr>
          <w:ilvl w:val="0"/>
          <w:numId w:val="7"/>
        </w:numPr>
        <w:spacing w:line="278" w:lineRule="auto"/>
        <w:jc w:val="both"/>
        <w:rPr>
          <w:rFonts w:ascii="Arial" w:hAnsi="Arial" w:cs="Arial"/>
        </w:rPr>
      </w:pPr>
      <w:r w:rsidRPr="00DA5A87">
        <w:rPr>
          <w:rFonts w:ascii="Arial" w:hAnsi="Arial" w:cs="Arial"/>
        </w:rPr>
        <w:t xml:space="preserve">Capacidades, gobernanza y redes de actores: capacidades analíticas, operativas y relacionales, innovación, enfoque de género y </w:t>
      </w:r>
      <w:proofErr w:type="spellStart"/>
      <w:r w:rsidRPr="00DA5A87">
        <w:rPr>
          <w:rFonts w:ascii="Arial" w:hAnsi="Arial" w:cs="Arial"/>
          <w:i/>
        </w:rPr>
        <w:t>policy</w:t>
      </w:r>
      <w:proofErr w:type="spellEnd"/>
      <w:r w:rsidRPr="00DA5A87">
        <w:rPr>
          <w:rFonts w:ascii="Arial" w:hAnsi="Arial" w:cs="Arial"/>
          <w:i/>
        </w:rPr>
        <w:t xml:space="preserve"> </w:t>
      </w:r>
      <w:proofErr w:type="spellStart"/>
      <w:r w:rsidRPr="00DA5A87">
        <w:rPr>
          <w:rFonts w:ascii="Arial" w:hAnsi="Arial" w:cs="Arial"/>
          <w:i/>
        </w:rPr>
        <w:t>networks</w:t>
      </w:r>
      <w:proofErr w:type="spellEnd"/>
      <w:r w:rsidRPr="00DA5A87">
        <w:rPr>
          <w:rFonts w:ascii="Arial" w:hAnsi="Arial" w:cs="Arial"/>
        </w:rPr>
        <w:t xml:space="preserve"> (intensidad, pluralidad y orientación horizontal/vertical) en diseño, ejecución y evaluación.</w:t>
      </w:r>
    </w:p>
    <w:p w14:paraId="742AC65D" w14:textId="5E64A812" w:rsidR="008069BD" w:rsidRPr="00DA5A87" w:rsidRDefault="008069BD" w:rsidP="008069BD">
      <w:pPr>
        <w:jc w:val="both"/>
        <w:rPr>
          <w:rFonts w:ascii="Arial" w:hAnsi="Arial" w:cs="Arial"/>
        </w:rPr>
      </w:pPr>
      <w:r w:rsidRPr="00DA5A87">
        <w:rPr>
          <w:rFonts w:ascii="Arial" w:hAnsi="Arial" w:cs="Arial"/>
        </w:rPr>
        <w:t xml:space="preserve">La herramienta </w:t>
      </w:r>
      <w:proofErr w:type="spellStart"/>
      <w:r w:rsidRPr="00DA5A87">
        <w:rPr>
          <w:rFonts w:ascii="Arial" w:hAnsi="Arial" w:cs="Arial"/>
        </w:rPr>
        <w:t>eCUPPA</w:t>
      </w:r>
      <w:proofErr w:type="spellEnd"/>
      <w:r w:rsidRPr="00DA5A87">
        <w:rPr>
          <w:rFonts w:ascii="Arial" w:hAnsi="Arial" w:cs="Arial"/>
        </w:rPr>
        <w:t xml:space="preserve"> incorpora algunas innovaciones metodológicas:</w:t>
      </w:r>
    </w:p>
    <w:p w14:paraId="2808C38A" w14:textId="77777777" w:rsidR="008069BD" w:rsidRPr="00790D0C" w:rsidRDefault="008069BD" w:rsidP="008069BD">
      <w:pPr>
        <w:numPr>
          <w:ilvl w:val="0"/>
          <w:numId w:val="10"/>
        </w:numPr>
        <w:spacing w:line="278" w:lineRule="auto"/>
        <w:jc w:val="both"/>
        <w:rPr>
          <w:rFonts w:ascii="Arial" w:hAnsi="Arial" w:cs="Arial"/>
        </w:rPr>
      </w:pPr>
      <w:r w:rsidRPr="00790D0C">
        <w:rPr>
          <w:rFonts w:ascii="Arial" w:hAnsi="Arial" w:cs="Arial"/>
        </w:rPr>
        <w:t xml:space="preserve">Permite vincular cualquier proyecto a cuatro </w:t>
      </w:r>
      <w:proofErr w:type="spellStart"/>
      <w:r w:rsidRPr="00790D0C">
        <w:rPr>
          <w:rFonts w:ascii="Arial" w:hAnsi="Arial" w:cs="Arial"/>
          <w:i/>
          <w:iCs/>
        </w:rPr>
        <w:t>policy</w:t>
      </w:r>
      <w:proofErr w:type="spellEnd"/>
      <w:r w:rsidRPr="00790D0C">
        <w:rPr>
          <w:rFonts w:ascii="Arial" w:hAnsi="Arial" w:cs="Arial"/>
          <w:i/>
          <w:iCs/>
        </w:rPr>
        <w:t xml:space="preserve"> </w:t>
      </w:r>
      <w:proofErr w:type="spellStart"/>
      <w:r w:rsidRPr="00790D0C">
        <w:rPr>
          <w:rFonts w:ascii="Arial" w:hAnsi="Arial" w:cs="Arial"/>
          <w:i/>
          <w:iCs/>
        </w:rPr>
        <w:t>frames</w:t>
      </w:r>
      <w:proofErr w:type="spellEnd"/>
      <w:r w:rsidRPr="00790D0C">
        <w:rPr>
          <w:rFonts w:ascii="Arial" w:hAnsi="Arial" w:cs="Arial"/>
        </w:rPr>
        <w:t xml:space="preserve"> estratégicos —Ámbitos del Desarrollo Sostenible (ADS), Objetivos de Desarrollo Sostenible (ODS), Agenda Urbana Española (AUE) y Agenda Urbana para la Unión Europea (AUUE)—, ofreciendo así la posibilidad de analizar su coherencia con los principales marcos estratégicos nacionales e internacionales.</w:t>
      </w:r>
    </w:p>
    <w:p w14:paraId="73425262" w14:textId="77777777" w:rsidR="008069BD" w:rsidRPr="00790D0C" w:rsidRDefault="008069BD" w:rsidP="008069BD">
      <w:pPr>
        <w:numPr>
          <w:ilvl w:val="0"/>
          <w:numId w:val="10"/>
        </w:numPr>
        <w:spacing w:line="278" w:lineRule="auto"/>
        <w:jc w:val="both"/>
        <w:rPr>
          <w:rFonts w:ascii="Arial" w:hAnsi="Arial" w:cs="Arial"/>
        </w:rPr>
      </w:pPr>
      <w:r w:rsidRPr="00790D0C">
        <w:rPr>
          <w:rFonts w:ascii="Arial" w:hAnsi="Arial" w:cs="Arial"/>
        </w:rPr>
        <w:t xml:space="preserve">Aporta un enfoque original sobre la integración de políticas públicas que va más allá de la mera diversidad temática, al centrarse en la complementariedad entre objetivos y actuaciones (no sólo en la diversidad). Este enfoque se traduce en la generación de mapas de red, indicadores de cohesión e influencia, y métricas de lógica estratégica que permiten evaluar el grado real de integración de la intervención que, a su vez, permite entender la lógica subyacente en la estrategia de intervención. </w:t>
      </w:r>
    </w:p>
    <w:p w14:paraId="525F5DDB" w14:textId="77777777" w:rsidR="008069BD" w:rsidRPr="00790D0C" w:rsidRDefault="008069BD" w:rsidP="008069BD">
      <w:pPr>
        <w:numPr>
          <w:ilvl w:val="0"/>
          <w:numId w:val="10"/>
        </w:numPr>
        <w:spacing w:line="278" w:lineRule="auto"/>
        <w:jc w:val="both"/>
        <w:rPr>
          <w:rFonts w:ascii="Arial" w:hAnsi="Arial" w:cs="Arial"/>
        </w:rPr>
      </w:pPr>
      <w:r w:rsidRPr="00790D0C">
        <w:rPr>
          <w:rFonts w:ascii="Arial" w:hAnsi="Arial" w:cs="Arial"/>
        </w:rPr>
        <w:t>La herramienta utiliza diversas métricas e índices, como el HHI (Herfindahl</w:t>
      </w:r>
      <w:r w:rsidRPr="00790D0C">
        <w:rPr>
          <w:rFonts w:ascii="Arial" w:hAnsi="Arial" w:cs="Arial"/>
        </w:rPr>
        <w:noBreakHyphen/>
        <w:t xml:space="preserve">Hirschman </w:t>
      </w:r>
      <w:proofErr w:type="spellStart"/>
      <w:r w:rsidRPr="00790D0C">
        <w:rPr>
          <w:rFonts w:ascii="Arial" w:hAnsi="Arial" w:cs="Arial"/>
        </w:rPr>
        <w:t>Index</w:t>
      </w:r>
      <w:proofErr w:type="spellEnd"/>
      <w:r w:rsidRPr="00790D0C">
        <w:rPr>
          <w:rFonts w:ascii="Arial" w:hAnsi="Arial" w:cs="Arial"/>
        </w:rPr>
        <w:t xml:space="preserve">) para medir la diversidad/transversalidad, y ofrece diversas representaciones gráficas de los resultados. </w:t>
      </w:r>
    </w:p>
    <w:p w14:paraId="2FA075E6" w14:textId="5690AAA1" w:rsidR="008069BD" w:rsidRPr="00790D0C" w:rsidRDefault="008069BD" w:rsidP="008069BD">
      <w:pPr>
        <w:numPr>
          <w:ilvl w:val="0"/>
          <w:numId w:val="10"/>
        </w:numPr>
        <w:spacing w:line="278" w:lineRule="auto"/>
        <w:jc w:val="both"/>
        <w:rPr>
          <w:rFonts w:ascii="Arial" w:hAnsi="Arial" w:cs="Arial"/>
        </w:rPr>
      </w:pPr>
      <w:r w:rsidRPr="00790D0C">
        <w:rPr>
          <w:rFonts w:ascii="Arial" w:hAnsi="Arial" w:cs="Arial"/>
        </w:rPr>
        <w:t xml:space="preserve">Permite generar una base de datos para el análisis sistemático y comparado de proyectos. </w:t>
      </w:r>
    </w:p>
    <w:p w14:paraId="39D7BC24" w14:textId="77777777" w:rsidR="008069BD" w:rsidRPr="00DA5A87" w:rsidRDefault="008069BD" w:rsidP="008069BD">
      <w:pPr>
        <w:jc w:val="both"/>
        <w:rPr>
          <w:rFonts w:ascii="Arial" w:hAnsi="Arial" w:cs="Arial"/>
          <w:b/>
          <w:bCs/>
        </w:rPr>
      </w:pPr>
      <w:r w:rsidRPr="00DA5A87">
        <w:rPr>
          <w:rFonts w:ascii="Arial" w:hAnsi="Arial" w:cs="Arial"/>
          <w:b/>
          <w:bCs/>
        </w:rPr>
        <w:t>3) Resultados: principales aportaciones, resultados y conclusiones</w:t>
      </w:r>
    </w:p>
    <w:p w14:paraId="245984C6" w14:textId="13F48390" w:rsidR="008069BD" w:rsidRPr="00DA5A87" w:rsidRDefault="008069BD" w:rsidP="008069BD">
      <w:pPr>
        <w:jc w:val="both"/>
        <w:rPr>
          <w:rFonts w:ascii="Arial" w:hAnsi="Arial" w:cs="Arial"/>
        </w:rPr>
      </w:pPr>
      <w:r w:rsidRPr="00DA5A87">
        <w:rPr>
          <w:rFonts w:ascii="Arial" w:hAnsi="Arial" w:cs="Arial"/>
        </w:rPr>
        <w:t>Algunos de los resultados esperados del análisis de integralidad de los EDUSI son:</w:t>
      </w:r>
    </w:p>
    <w:p w14:paraId="194775A6" w14:textId="77777777" w:rsidR="008069BD" w:rsidRPr="00DA5A87" w:rsidRDefault="008069BD" w:rsidP="008069BD">
      <w:pPr>
        <w:numPr>
          <w:ilvl w:val="0"/>
          <w:numId w:val="9"/>
        </w:numPr>
        <w:spacing w:line="278" w:lineRule="auto"/>
        <w:jc w:val="both"/>
        <w:rPr>
          <w:rFonts w:ascii="Arial" w:hAnsi="Arial" w:cs="Arial"/>
        </w:rPr>
      </w:pPr>
      <w:r w:rsidRPr="00DA5A87">
        <w:rPr>
          <w:rFonts w:ascii="Arial" w:hAnsi="Arial" w:cs="Arial"/>
        </w:rPr>
        <w:t>Mapa de diversidad por marcos (ODS/AUE/AUUE/ADS) con HHI y distribución del esfuerzo (actuaciones/presupuesto), permitiendo identificar sesgos temáticos o desequilibrios entre ejes.</w:t>
      </w:r>
    </w:p>
    <w:p w14:paraId="65793359" w14:textId="77777777" w:rsidR="008069BD" w:rsidRPr="00DA5A87" w:rsidRDefault="008069BD" w:rsidP="008069BD">
      <w:pPr>
        <w:numPr>
          <w:ilvl w:val="0"/>
          <w:numId w:val="9"/>
        </w:numPr>
        <w:spacing w:line="278" w:lineRule="auto"/>
        <w:jc w:val="both"/>
        <w:rPr>
          <w:rFonts w:ascii="Arial" w:hAnsi="Arial" w:cs="Arial"/>
        </w:rPr>
      </w:pPr>
      <w:r w:rsidRPr="00DA5A87">
        <w:rPr>
          <w:rFonts w:ascii="Arial" w:hAnsi="Arial" w:cs="Arial"/>
        </w:rPr>
        <w:t>Mapa de red de implementación (Integración) con densidad/cohesión y tipologías (periféricos, centralidad, influyentes, relevantes; índice de estabilidad de red), mostrando el grado de integración real y los cuellos de botella para la estrategia.</w:t>
      </w:r>
    </w:p>
    <w:p w14:paraId="75B3D98F" w14:textId="77777777" w:rsidR="008069BD" w:rsidRPr="00DA5A87" w:rsidRDefault="008069BD" w:rsidP="008069BD">
      <w:pPr>
        <w:numPr>
          <w:ilvl w:val="0"/>
          <w:numId w:val="9"/>
        </w:numPr>
        <w:spacing w:line="278" w:lineRule="auto"/>
        <w:jc w:val="both"/>
        <w:rPr>
          <w:rFonts w:ascii="Arial" w:hAnsi="Arial" w:cs="Arial"/>
        </w:rPr>
      </w:pPr>
      <w:r w:rsidRPr="00DA5A87">
        <w:rPr>
          <w:rFonts w:ascii="Arial" w:hAnsi="Arial" w:cs="Arial"/>
        </w:rPr>
        <w:t>Análisis de contribución/atribución: matrices que relacionan actuaciones y logro de objetivos, con índices de performance y rangos de coherencia que ayudan a discernir si lo ejecutado explica los resultados reportados.</w:t>
      </w:r>
    </w:p>
    <w:p w14:paraId="0FAE494D" w14:textId="77777777" w:rsidR="008069BD" w:rsidRPr="00DA5A87" w:rsidRDefault="008069BD" w:rsidP="008069BD">
      <w:pPr>
        <w:numPr>
          <w:ilvl w:val="0"/>
          <w:numId w:val="9"/>
        </w:numPr>
        <w:spacing w:line="278" w:lineRule="auto"/>
        <w:jc w:val="both"/>
        <w:rPr>
          <w:rFonts w:ascii="Arial" w:hAnsi="Arial" w:cs="Arial"/>
        </w:rPr>
      </w:pPr>
      <w:r w:rsidRPr="00DA5A87">
        <w:rPr>
          <w:rFonts w:ascii="Arial" w:hAnsi="Arial" w:cs="Arial"/>
        </w:rPr>
        <w:t xml:space="preserve">Capacidades institucionales y redes de gobernanza: diagnóstico de capacidades analíticas, operativas y relacionales, con intensidad y pluralidad de colaboración y orientación horizontal/vertical, para comprender condiciones de implementación y sostenibilidad. </w:t>
      </w:r>
    </w:p>
    <w:p w14:paraId="45F843AB" w14:textId="77777777" w:rsidR="007227C4" w:rsidRDefault="007227C4" w:rsidP="008069BD">
      <w:pPr>
        <w:jc w:val="both"/>
        <w:rPr>
          <w:rFonts w:ascii="Arial" w:hAnsi="Arial" w:cs="Arial"/>
        </w:rPr>
      </w:pPr>
    </w:p>
    <w:p w14:paraId="7CE4DC66" w14:textId="27BE2E05" w:rsidR="008069BD" w:rsidRPr="00DA5A87" w:rsidRDefault="008069BD" w:rsidP="008069BD">
      <w:pPr>
        <w:jc w:val="both"/>
        <w:rPr>
          <w:rFonts w:ascii="Arial" w:hAnsi="Arial" w:cs="Arial"/>
        </w:rPr>
      </w:pPr>
      <w:r w:rsidRPr="00DA5A87">
        <w:rPr>
          <w:rFonts w:ascii="Arial" w:hAnsi="Arial" w:cs="Arial"/>
        </w:rPr>
        <w:lastRenderedPageBreak/>
        <w:t xml:space="preserve">Aportaciones de </w:t>
      </w:r>
      <w:proofErr w:type="spellStart"/>
      <w:r w:rsidRPr="00DA5A87">
        <w:rPr>
          <w:rFonts w:ascii="Arial" w:hAnsi="Arial" w:cs="Arial"/>
        </w:rPr>
        <w:t>eCUPPA</w:t>
      </w:r>
      <w:proofErr w:type="spellEnd"/>
      <w:r w:rsidRPr="00DA5A87">
        <w:rPr>
          <w:rFonts w:ascii="Arial" w:hAnsi="Arial" w:cs="Arial"/>
        </w:rPr>
        <w:t xml:space="preserve"> </w:t>
      </w:r>
    </w:p>
    <w:p w14:paraId="72E81DE0" w14:textId="2574957F" w:rsidR="008069BD" w:rsidRPr="00DA5A87" w:rsidRDefault="008069BD" w:rsidP="008069BD">
      <w:pPr>
        <w:numPr>
          <w:ilvl w:val="0"/>
          <w:numId w:val="8"/>
        </w:numPr>
        <w:spacing w:line="278" w:lineRule="auto"/>
        <w:jc w:val="both"/>
        <w:rPr>
          <w:rFonts w:ascii="Arial" w:hAnsi="Arial" w:cs="Arial"/>
        </w:rPr>
      </w:pPr>
      <w:r w:rsidRPr="00DA5A87">
        <w:rPr>
          <w:rFonts w:ascii="Arial" w:hAnsi="Arial" w:cs="Arial"/>
        </w:rPr>
        <w:t xml:space="preserve">Instrumento digital que operativiza un enfoque comparativo teórico en análisis práctico, sin requerir competencias avanzadas; la plataforma realiza cálculos y entrega informes listos para uso. </w:t>
      </w:r>
    </w:p>
    <w:p w14:paraId="4DCF1F13" w14:textId="77777777" w:rsidR="008069BD" w:rsidRPr="00DA5A87" w:rsidRDefault="008069BD" w:rsidP="008069BD">
      <w:pPr>
        <w:numPr>
          <w:ilvl w:val="0"/>
          <w:numId w:val="8"/>
        </w:numPr>
        <w:spacing w:line="278" w:lineRule="auto"/>
        <w:jc w:val="both"/>
        <w:rPr>
          <w:rFonts w:ascii="Arial" w:hAnsi="Arial" w:cs="Arial"/>
        </w:rPr>
      </w:pPr>
      <w:r w:rsidRPr="00DA5A87">
        <w:rPr>
          <w:rFonts w:ascii="Arial" w:hAnsi="Arial" w:cs="Arial"/>
        </w:rPr>
        <w:t xml:space="preserve">Comparabilidad transversal y longitudinal entre proyectos, al estandarizar categorías y vincular los proyectos a ODS, AUE y AUUE, facilitando lecturas estratégicas </w:t>
      </w:r>
      <w:proofErr w:type="spellStart"/>
      <w:r w:rsidRPr="00DA5A87">
        <w:rPr>
          <w:rFonts w:ascii="Arial" w:hAnsi="Arial" w:cs="Arial"/>
        </w:rPr>
        <w:t>multi</w:t>
      </w:r>
      <w:r w:rsidRPr="00DA5A87">
        <w:rPr>
          <w:rFonts w:ascii="Arial" w:hAnsi="Arial" w:cs="Arial"/>
        </w:rPr>
        <w:noBreakHyphen/>
        <w:t>escala</w:t>
      </w:r>
      <w:proofErr w:type="spellEnd"/>
      <w:r w:rsidRPr="00DA5A87">
        <w:rPr>
          <w:rFonts w:ascii="Arial" w:hAnsi="Arial" w:cs="Arial"/>
        </w:rPr>
        <w:t>.</w:t>
      </w:r>
    </w:p>
    <w:p w14:paraId="1DE7E9C1" w14:textId="77777777" w:rsidR="008069BD" w:rsidRPr="00DA5A87" w:rsidRDefault="008069BD" w:rsidP="008069BD">
      <w:pPr>
        <w:numPr>
          <w:ilvl w:val="0"/>
          <w:numId w:val="8"/>
        </w:numPr>
        <w:spacing w:line="278" w:lineRule="auto"/>
        <w:jc w:val="both"/>
        <w:rPr>
          <w:rFonts w:ascii="Arial" w:hAnsi="Arial" w:cs="Arial"/>
        </w:rPr>
      </w:pPr>
      <w:r w:rsidRPr="00DA5A87">
        <w:rPr>
          <w:rFonts w:ascii="Arial" w:hAnsi="Arial" w:cs="Arial"/>
        </w:rPr>
        <w:t>Énfasis en la integralidad: pasar de medir únicamente diversidad a diagnosticar complementariedad y coherencia en las redes de implementación, identificando elementos periféricos/críticos/influyentes/relevantes y posibles cuellos de botella elementos críticos e influyentes (objetivos y actuaciones)</w:t>
      </w:r>
    </w:p>
    <w:p w14:paraId="64FF6063" w14:textId="2789EC21" w:rsidR="008069BD" w:rsidRPr="00DA5A87" w:rsidRDefault="008069BD" w:rsidP="008069BD">
      <w:pPr>
        <w:numPr>
          <w:ilvl w:val="0"/>
          <w:numId w:val="8"/>
        </w:numPr>
        <w:spacing w:line="278" w:lineRule="auto"/>
        <w:jc w:val="both"/>
        <w:rPr>
          <w:rFonts w:ascii="Arial" w:hAnsi="Arial" w:cs="Arial"/>
        </w:rPr>
      </w:pPr>
      <w:r w:rsidRPr="00DA5A87">
        <w:rPr>
          <w:rFonts w:ascii="Arial" w:hAnsi="Arial" w:cs="Arial"/>
        </w:rPr>
        <w:t xml:space="preserve">Apoyo a la toma de decisiones: ex ante, durante la ejecución y ex post, con áreas de mejora prioritaria, escenarios evaluativos y recursos para aprendizaje institucional y </w:t>
      </w:r>
      <w:proofErr w:type="spellStart"/>
      <w:r w:rsidRPr="00DA5A87">
        <w:rPr>
          <w:rFonts w:ascii="Arial" w:hAnsi="Arial" w:cs="Arial"/>
        </w:rPr>
        <w:t>co</w:t>
      </w:r>
      <w:r w:rsidRPr="00DA5A87">
        <w:rPr>
          <w:rFonts w:ascii="Arial" w:hAnsi="Arial" w:cs="Arial"/>
        </w:rPr>
        <w:noBreakHyphen/>
        <w:t>creación</w:t>
      </w:r>
      <w:proofErr w:type="spellEnd"/>
      <w:r w:rsidRPr="00DA5A87">
        <w:rPr>
          <w:rFonts w:ascii="Arial" w:hAnsi="Arial" w:cs="Arial"/>
        </w:rPr>
        <w:t>.</w:t>
      </w:r>
    </w:p>
    <w:p w14:paraId="35E24F17" w14:textId="6048C665" w:rsidR="008069BD" w:rsidRPr="00DA5A87" w:rsidRDefault="008069BD" w:rsidP="008069BD">
      <w:pPr>
        <w:jc w:val="both"/>
        <w:rPr>
          <w:rFonts w:ascii="Arial" w:hAnsi="Arial" w:cs="Arial"/>
          <w:b/>
          <w:bCs/>
        </w:rPr>
      </w:pPr>
      <w:r w:rsidRPr="00DA5A87">
        <w:rPr>
          <w:rFonts w:ascii="Arial" w:hAnsi="Arial" w:cs="Arial"/>
          <w:b/>
          <w:bCs/>
        </w:rPr>
        <w:t xml:space="preserve">Referencias bibliográficas </w:t>
      </w:r>
    </w:p>
    <w:p w14:paraId="4600E45F" w14:textId="67F92BDF" w:rsidR="008069BD" w:rsidRPr="00DA5A87" w:rsidRDefault="008069BD" w:rsidP="008069BD">
      <w:pPr>
        <w:ind w:left="567" w:hanging="425"/>
        <w:jc w:val="both"/>
        <w:rPr>
          <w:rFonts w:ascii="Arial" w:hAnsi="Arial" w:cs="Arial"/>
        </w:rPr>
      </w:pPr>
      <w:r w:rsidRPr="00DA5A87">
        <w:rPr>
          <w:rFonts w:ascii="Arial" w:hAnsi="Arial" w:cs="Arial"/>
        </w:rPr>
        <w:t xml:space="preserve">Barbosa (2023). Innovación pública y pensamiento de diseño para políticas públicas en el contexto de desarrollo de ciudad. </w:t>
      </w:r>
      <w:r w:rsidRPr="00DA5A87">
        <w:rPr>
          <w:rFonts w:ascii="Arial" w:hAnsi="Arial" w:cs="Arial"/>
          <w:i/>
          <w:iCs/>
        </w:rPr>
        <w:t>Revista digital de Derecho Administrativo</w:t>
      </w:r>
      <w:r w:rsidRPr="00DA5A87">
        <w:rPr>
          <w:rFonts w:ascii="Arial" w:hAnsi="Arial" w:cs="Arial"/>
        </w:rPr>
        <w:t xml:space="preserve">, n.º 29, 2023, 235-271. </w:t>
      </w:r>
      <w:hyperlink r:id="rId15" w:history="1">
        <w:r w:rsidRPr="00DA5A87">
          <w:rPr>
            <w:rStyle w:val="Hipervnculo"/>
            <w:rFonts w:ascii="Arial" w:hAnsi="Arial" w:cs="Arial"/>
          </w:rPr>
          <w:t>https://orcid.org/0000-0001-6567-1831</w:t>
        </w:r>
      </w:hyperlink>
    </w:p>
    <w:p w14:paraId="2B45E123" w14:textId="0A9A1FC6" w:rsidR="008069BD" w:rsidRPr="00DA5A87" w:rsidRDefault="008069BD" w:rsidP="008069BD">
      <w:pPr>
        <w:ind w:left="567" w:hanging="425"/>
        <w:jc w:val="both"/>
        <w:rPr>
          <w:rFonts w:ascii="Arial" w:hAnsi="Arial" w:cs="Arial"/>
        </w:rPr>
      </w:pPr>
      <w:r w:rsidRPr="00DA5A87">
        <w:rPr>
          <w:rFonts w:ascii="Arial" w:hAnsi="Arial" w:cs="Arial"/>
        </w:rPr>
        <w:t>Dorado</w:t>
      </w:r>
      <w:r w:rsidR="001F75F1">
        <w:rPr>
          <w:rFonts w:ascii="Arial" w:hAnsi="Arial" w:cs="Arial"/>
        </w:rPr>
        <w:t>-</w:t>
      </w:r>
      <w:r w:rsidRPr="00DA5A87">
        <w:rPr>
          <w:rFonts w:ascii="Arial" w:hAnsi="Arial" w:cs="Arial"/>
        </w:rPr>
        <w:t>Rubín, M.J., Guerrero</w:t>
      </w:r>
      <w:r w:rsidR="001F75F1">
        <w:rPr>
          <w:rFonts w:ascii="Arial" w:hAnsi="Arial" w:cs="Arial"/>
        </w:rPr>
        <w:t>-</w:t>
      </w:r>
      <w:proofErr w:type="gramStart"/>
      <w:r w:rsidRPr="00DA5A87">
        <w:rPr>
          <w:rFonts w:ascii="Arial" w:hAnsi="Arial" w:cs="Arial"/>
        </w:rPr>
        <w:t>Mayo</w:t>
      </w:r>
      <w:proofErr w:type="gramEnd"/>
      <w:r w:rsidRPr="00DA5A87">
        <w:rPr>
          <w:rFonts w:ascii="Arial" w:hAnsi="Arial" w:cs="Arial"/>
        </w:rPr>
        <w:t xml:space="preserve">, M.J. &amp; Navarro Yáñez, C.J. (2025). </w:t>
      </w:r>
      <w:r w:rsidRPr="00DA5A87">
        <w:rPr>
          <w:rFonts w:ascii="Arial" w:hAnsi="Arial" w:cs="Arial"/>
          <w:lang w:val="en-GB"/>
        </w:rPr>
        <w:t xml:space="preserve">Policy integration in urban policies as multi-level policy mixes. </w:t>
      </w:r>
      <w:r w:rsidRPr="00DA5A87">
        <w:rPr>
          <w:rFonts w:ascii="Arial" w:hAnsi="Arial" w:cs="Arial"/>
        </w:rPr>
        <w:t xml:space="preserve">Policy </w:t>
      </w:r>
      <w:proofErr w:type="spellStart"/>
      <w:r w:rsidRPr="00DA5A87">
        <w:rPr>
          <w:rFonts w:ascii="Arial" w:hAnsi="Arial" w:cs="Arial"/>
        </w:rPr>
        <w:t>Science</w:t>
      </w:r>
      <w:proofErr w:type="spellEnd"/>
      <w:r w:rsidRPr="00DA5A87">
        <w:rPr>
          <w:rFonts w:ascii="Arial" w:hAnsi="Arial" w:cs="Arial"/>
        </w:rPr>
        <w:t xml:space="preserve">, 58, 45–67. </w:t>
      </w:r>
      <w:hyperlink r:id="rId16" w:history="1">
        <w:r w:rsidRPr="00DA5A87">
          <w:rPr>
            <w:rStyle w:val="Hipervnculo"/>
            <w:rFonts w:ascii="Arial" w:hAnsi="Arial" w:cs="Arial"/>
          </w:rPr>
          <w:t>https://doi.org/10.1007/s11077-024-09562-5</w:t>
        </w:r>
      </w:hyperlink>
    </w:p>
    <w:p w14:paraId="32DAC046" w14:textId="594EBEEF" w:rsidR="008069BD" w:rsidRPr="00DA5A87" w:rsidRDefault="008069BD" w:rsidP="008069BD">
      <w:pPr>
        <w:ind w:left="567" w:hanging="425"/>
        <w:jc w:val="both"/>
        <w:rPr>
          <w:rFonts w:ascii="Arial" w:hAnsi="Arial" w:cs="Arial"/>
        </w:rPr>
      </w:pPr>
      <w:r w:rsidRPr="00DA5A87">
        <w:rPr>
          <w:rFonts w:ascii="Arial" w:hAnsi="Arial" w:cs="Arial"/>
        </w:rPr>
        <w:t>Dorado</w:t>
      </w:r>
      <w:r w:rsidR="001F75F1">
        <w:rPr>
          <w:rFonts w:ascii="Arial" w:hAnsi="Arial" w:cs="Arial"/>
        </w:rPr>
        <w:t>-</w:t>
      </w:r>
      <w:r w:rsidRPr="00DA5A87">
        <w:rPr>
          <w:rFonts w:ascii="Arial" w:hAnsi="Arial" w:cs="Arial"/>
        </w:rPr>
        <w:t>Rubín, M.J., Navarro Yáñez, C.J. &amp; Guerrero</w:t>
      </w:r>
      <w:r w:rsidR="001F75F1">
        <w:rPr>
          <w:rFonts w:ascii="Arial" w:hAnsi="Arial" w:cs="Arial"/>
        </w:rPr>
        <w:t>-</w:t>
      </w:r>
      <w:proofErr w:type="gramStart"/>
      <w:r w:rsidRPr="00DA5A87">
        <w:rPr>
          <w:rFonts w:ascii="Arial" w:hAnsi="Arial" w:cs="Arial"/>
        </w:rPr>
        <w:t>Mayo</w:t>
      </w:r>
      <w:proofErr w:type="gramEnd"/>
      <w:r w:rsidRPr="00DA5A87">
        <w:rPr>
          <w:rFonts w:ascii="Arial" w:hAnsi="Arial" w:cs="Arial"/>
        </w:rPr>
        <w:t xml:space="preserve">, M.J. (2026). </w:t>
      </w:r>
      <w:r w:rsidRPr="00DA5A87">
        <w:rPr>
          <w:rFonts w:ascii="Arial" w:hAnsi="Arial" w:cs="Arial"/>
          <w:lang w:val="en-GB"/>
        </w:rPr>
        <w:t xml:space="preserve">Adopting an Integrated Strategy in Local Policy Design: Agenda Content Diversity, Policy Capacities, and Policy Feedback Effects in Urban Policies as Multi Level Policy Mixes. </w:t>
      </w:r>
      <w:proofErr w:type="spellStart"/>
      <w:r w:rsidRPr="008069BD">
        <w:rPr>
          <w:rFonts w:ascii="Arial" w:hAnsi="Arial" w:cs="Arial"/>
          <w:i/>
        </w:rPr>
        <w:t>European</w:t>
      </w:r>
      <w:proofErr w:type="spellEnd"/>
      <w:r w:rsidRPr="008069BD">
        <w:rPr>
          <w:rFonts w:ascii="Arial" w:hAnsi="Arial" w:cs="Arial"/>
          <w:i/>
        </w:rPr>
        <w:t xml:space="preserve"> Policy </w:t>
      </w:r>
      <w:proofErr w:type="spellStart"/>
      <w:r w:rsidRPr="008069BD">
        <w:rPr>
          <w:rFonts w:ascii="Arial" w:hAnsi="Arial" w:cs="Arial"/>
          <w:i/>
        </w:rPr>
        <w:t>Analysis</w:t>
      </w:r>
      <w:proofErr w:type="spellEnd"/>
      <w:r w:rsidRPr="008069BD">
        <w:rPr>
          <w:rFonts w:ascii="Arial" w:hAnsi="Arial" w:cs="Arial"/>
        </w:rPr>
        <w:t xml:space="preserve">, 12: e70011. </w:t>
      </w:r>
      <w:hyperlink r:id="rId17" w:history="1">
        <w:r w:rsidRPr="00DA5A87">
          <w:rPr>
            <w:rStyle w:val="Hipervnculo"/>
            <w:rFonts w:ascii="Arial" w:hAnsi="Arial" w:cs="Arial"/>
            <w:color w:val="123D80"/>
            <w:shd w:val="clear" w:color="auto" w:fill="FFFFFF"/>
          </w:rPr>
          <w:t>https://doi.org/10.1002/epa2.70011</w:t>
        </w:r>
      </w:hyperlink>
    </w:p>
    <w:p w14:paraId="0D0F1EFD" w14:textId="6537F53D" w:rsidR="008069BD" w:rsidRPr="00DA5A87" w:rsidRDefault="008069BD" w:rsidP="008069BD">
      <w:pPr>
        <w:ind w:left="567" w:hanging="425"/>
        <w:jc w:val="both"/>
        <w:rPr>
          <w:rFonts w:ascii="Arial" w:hAnsi="Arial" w:cs="Arial"/>
          <w:color w:val="222222"/>
          <w:shd w:val="clear" w:color="auto" w:fill="FFFFFF"/>
          <w:lang w:val="en-GB"/>
        </w:rPr>
      </w:pPr>
      <w:r w:rsidRPr="00DA5A87">
        <w:rPr>
          <w:rFonts w:ascii="Arial" w:hAnsi="Arial" w:cs="Arial"/>
        </w:rPr>
        <w:t>Navarro-Yáñez, C.J., Rodríguez-García, M.J. &amp; Guerrero-</w:t>
      </w:r>
      <w:proofErr w:type="gramStart"/>
      <w:r w:rsidRPr="00DA5A87">
        <w:rPr>
          <w:rFonts w:ascii="Arial" w:hAnsi="Arial" w:cs="Arial"/>
        </w:rPr>
        <w:t>Mayo</w:t>
      </w:r>
      <w:proofErr w:type="gramEnd"/>
      <w:r w:rsidRPr="00DA5A87">
        <w:rPr>
          <w:rFonts w:ascii="Arial" w:hAnsi="Arial" w:cs="Arial"/>
        </w:rPr>
        <w:t xml:space="preserve">, M.J. (2020). </w:t>
      </w:r>
      <w:r w:rsidRPr="00DA5A87">
        <w:rPr>
          <w:rFonts w:ascii="Arial" w:hAnsi="Arial" w:cs="Arial"/>
          <w:lang w:val="en-GB"/>
        </w:rPr>
        <w:t xml:space="preserve">Evaluating the Quality of Urban Development Plans Promoted by the European Union: The URBAN and URBANA Initiatives in Spain (1994–2013). </w:t>
      </w:r>
      <w:r w:rsidRPr="00DA5A87">
        <w:rPr>
          <w:rFonts w:ascii="Arial" w:hAnsi="Arial" w:cs="Arial"/>
          <w:i/>
          <w:lang w:val="en-GB"/>
        </w:rPr>
        <w:t>Social Indicators Research</w:t>
      </w:r>
      <w:r w:rsidRPr="00DA5A87">
        <w:rPr>
          <w:rFonts w:ascii="Arial" w:hAnsi="Arial" w:cs="Arial"/>
          <w:lang w:val="en-GB"/>
        </w:rPr>
        <w:t xml:space="preserve">, 149, 215–237 (2020). </w:t>
      </w:r>
      <w:hyperlink r:id="rId18" w:history="1">
        <w:r w:rsidRPr="00DA5A87">
          <w:rPr>
            <w:rStyle w:val="Hipervnculo"/>
            <w:rFonts w:ascii="Arial" w:hAnsi="Arial" w:cs="Arial"/>
            <w:shd w:val="clear" w:color="auto" w:fill="FFFFFF"/>
            <w:lang w:val="en-GB"/>
          </w:rPr>
          <w:t>https://doi.org/10.1007/s11205-019-02234-5</w:t>
        </w:r>
      </w:hyperlink>
    </w:p>
    <w:p w14:paraId="1824966C" w14:textId="40BF4C03" w:rsidR="008069BD" w:rsidRPr="00DA5A87" w:rsidRDefault="008069BD" w:rsidP="008069BD">
      <w:pPr>
        <w:ind w:left="567" w:hanging="425"/>
        <w:jc w:val="both"/>
        <w:rPr>
          <w:rFonts w:ascii="Arial" w:hAnsi="Arial" w:cs="Arial"/>
          <w:lang w:val="en-GB"/>
        </w:rPr>
      </w:pPr>
      <w:r w:rsidRPr="000269DA">
        <w:rPr>
          <w:rFonts w:ascii="Arial" w:hAnsi="Arial" w:cs="Arial"/>
          <w:lang w:val="en-GB"/>
        </w:rPr>
        <w:t>Navarro, C.J. &amp; Rodríguez</w:t>
      </w:r>
      <w:r w:rsidR="001F75F1" w:rsidRPr="000269DA">
        <w:rPr>
          <w:rFonts w:ascii="Arial" w:hAnsi="Arial" w:cs="Arial"/>
          <w:lang w:val="en-GB"/>
        </w:rPr>
        <w:t>-</w:t>
      </w:r>
      <w:r w:rsidRPr="000269DA">
        <w:rPr>
          <w:rFonts w:ascii="Arial" w:hAnsi="Arial" w:cs="Arial"/>
          <w:lang w:val="en-GB"/>
        </w:rPr>
        <w:t>García, M.</w:t>
      </w:r>
      <w:r w:rsidR="00F77E8D" w:rsidRPr="000269DA">
        <w:rPr>
          <w:rFonts w:ascii="Arial" w:hAnsi="Arial" w:cs="Arial"/>
          <w:lang w:val="en-GB"/>
        </w:rPr>
        <w:t>J</w:t>
      </w:r>
      <w:r w:rsidRPr="000269DA">
        <w:rPr>
          <w:rFonts w:ascii="Arial" w:hAnsi="Arial" w:cs="Arial"/>
          <w:lang w:val="en-GB"/>
        </w:rPr>
        <w:t xml:space="preserve">. (2020). </w:t>
      </w:r>
      <w:r w:rsidRPr="00DA5A87">
        <w:rPr>
          <w:rFonts w:ascii="Arial" w:hAnsi="Arial" w:cs="Arial"/>
          <w:lang w:val="en-GB"/>
        </w:rPr>
        <w:t xml:space="preserve">Urban policies as multi-level policy mixes: The comparative urban portfolio analysis to study the strategies of integral urban development initiatives. </w:t>
      </w:r>
      <w:r w:rsidRPr="00DA5A87">
        <w:rPr>
          <w:rFonts w:ascii="Arial" w:hAnsi="Arial" w:cs="Arial"/>
          <w:i/>
          <w:lang w:val="en-GB"/>
        </w:rPr>
        <w:t>Cities</w:t>
      </w:r>
      <w:r w:rsidRPr="00DA5A87">
        <w:rPr>
          <w:rFonts w:ascii="Arial" w:hAnsi="Arial" w:cs="Arial"/>
          <w:lang w:val="en-GB"/>
        </w:rPr>
        <w:t xml:space="preserve">. Volume 102, 2020, 102716 ISSN 0264-2751, </w:t>
      </w:r>
      <w:hyperlink r:id="rId19" w:history="1">
        <w:r w:rsidRPr="00DA5A87">
          <w:rPr>
            <w:rStyle w:val="Hipervnculo"/>
            <w:rFonts w:ascii="Arial" w:hAnsi="Arial" w:cs="Arial"/>
            <w:lang w:val="en-GB"/>
          </w:rPr>
          <w:t>https://doi.org/10.1016/j.cities.2020.102716</w:t>
        </w:r>
      </w:hyperlink>
    </w:p>
    <w:p w14:paraId="4EAB5DCA" w14:textId="2E5EFD09" w:rsidR="008069BD" w:rsidRPr="00F77E8D" w:rsidRDefault="008069BD" w:rsidP="008069BD">
      <w:pPr>
        <w:ind w:left="567" w:hanging="425"/>
        <w:jc w:val="both"/>
        <w:rPr>
          <w:rFonts w:ascii="Arial" w:hAnsi="Arial" w:cs="Arial"/>
        </w:rPr>
      </w:pPr>
      <w:r w:rsidRPr="000269DA">
        <w:rPr>
          <w:rFonts w:ascii="Arial" w:hAnsi="Arial" w:cs="Arial"/>
          <w:lang w:val="en-GB"/>
        </w:rPr>
        <w:t>Navarro, C.J. &amp; Rodríguez</w:t>
      </w:r>
      <w:r w:rsidR="001F75F1" w:rsidRPr="000269DA">
        <w:rPr>
          <w:rFonts w:ascii="Arial" w:hAnsi="Arial" w:cs="Arial"/>
          <w:lang w:val="en-GB"/>
        </w:rPr>
        <w:t>-</w:t>
      </w:r>
      <w:r w:rsidRPr="000269DA">
        <w:rPr>
          <w:rFonts w:ascii="Arial" w:hAnsi="Arial" w:cs="Arial"/>
          <w:lang w:val="en-GB"/>
        </w:rPr>
        <w:t xml:space="preserve">García, M.J. (2023). </w:t>
      </w:r>
      <w:r w:rsidRPr="00DA5A87">
        <w:rPr>
          <w:rFonts w:ascii="Arial" w:hAnsi="Arial" w:cs="Arial"/>
          <w:lang w:val="en-GB"/>
        </w:rPr>
        <w:t xml:space="preserve">Evaluating the design of integral urban regeneration plans: combining policy evaluability and plan quality approaches to analyse complex urban policies. </w:t>
      </w:r>
      <w:r w:rsidRPr="00F77E8D">
        <w:rPr>
          <w:rFonts w:ascii="Arial" w:hAnsi="Arial" w:cs="Arial"/>
          <w:i/>
        </w:rPr>
        <w:t xml:space="preserve">Town </w:t>
      </w:r>
      <w:proofErr w:type="spellStart"/>
      <w:r w:rsidRPr="00F77E8D">
        <w:rPr>
          <w:rFonts w:ascii="Arial" w:hAnsi="Arial" w:cs="Arial"/>
          <w:i/>
        </w:rPr>
        <w:t>Planning</w:t>
      </w:r>
      <w:proofErr w:type="spellEnd"/>
      <w:r w:rsidRPr="00F77E8D">
        <w:rPr>
          <w:rFonts w:ascii="Arial" w:hAnsi="Arial" w:cs="Arial"/>
          <w:i/>
        </w:rPr>
        <w:t xml:space="preserve"> </w:t>
      </w:r>
      <w:proofErr w:type="spellStart"/>
      <w:r w:rsidRPr="00F77E8D">
        <w:rPr>
          <w:rFonts w:ascii="Arial" w:hAnsi="Arial" w:cs="Arial"/>
          <w:i/>
        </w:rPr>
        <w:t>Review</w:t>
      </w:r>
      <w:proofErr w:type="spellEnd"/>
      <w:r w:rsidRPr="00F77E8D">
        <w:rPr>
          <w:rFonts w:ascii="Arial" w:hAnsi="Arial" w:cs="Arial"/>
        </w:rPr>
        <w:t xml:space="preserve">, 94(3). </w:t>
      </w:r>
      <w:hyperlink r:id="rId20" w:history="1">
        <w:r w:rsidRPr="00F77E8D">
          <w:rPr>
            <w:rStyle w:val="Hipervnculo"/>
            <w:rFonts w:ascii="Arial" w:hAnsi="Arial" w:cs="Arial"/>
          </w:rPr>
          <w:t>https://doi.org/10.3828/tpr.2022.19</w:t>
        </w:r>
      </w:hyperlink>
    </w:p>
    <w:p w14:paraId="34D6A856" w14:textId="06F15BD3" w:rsidR="00C86D46" w:rsidRPr="00037388" w:rsidRDefault="008069BD" w:rsidP="00037388">
      <w:pPr>
        <w:ind w:left="567" w:hanging="425"/>
        <w:jc w:val="both"/>
        <w:rPr>
          <w:rFonts w:ascii="Arial" w:hAnsi="Arial" w:cs="Arial"/>
          <w:lang w:val="en-GB"/>
        </w:rPr>
      </w:pPr>
      <w:r w:rsidRPr="001A616A">
        <w:rPr>
          <w:rFonts w:ascii="Arial" w:hAnsi="Arial" w:cs="Arial"/>
        </w:rPr>
        <w:t>Navarro</w:t>
      </w:r>
      <w:r w:rsidR="001A616A" w:rsidRPr="001A616A">
        <w:rPr>
          <w:rFonts w:ascii="Arial" w:hAnsi="Arial" w:cs="Arial"/>
        </w:rPr>
        <w:t>,</w:t>
      </w:r>
      <w:r w:rsidR="001A616A">
        <w:rPr>
          <w:rFonts w:ascii="Arial" w:hAnsi="Arial" w:cs="Arial"/>
        </w:rPr>
        <w:t xml:space="preserve"> C.J.,</w:t>
      </w:r>
      <w:r w:rsidRPr="001A616A">
        <w:rPr>
          <w:rFonts w:ascii="Arial" w:hAnsi="Arial" w:cs="Arial"/>
        </w:rPr>
        <w:t xml:space="preserve"> </w:t>
      </w:r>
      <w:r w:rsidR="001A616A" w:rsidRPr="00DA5A87">
        <w:rPr>
          <w:rFonts w:ascii="Arial" w:hAnsi="Arial" w:cs="Arial"/>
        </w:rPr>
        <w:t>Guerrero</w:t>
      </w:r>
      <w:r w:rsidR="001A616A">
        <w:rPr>
          <w:rFonts w:ascii="Arial" w:hAnsi="Arial" w:cs="Arial"/>
        </w:rPr>
        <w:t>-</w:t>
      </w:r>
      <w:proofErr w:type="gramStart"/>
      <w:r w:rsidR="001A616A" w:rsidRPr="00DA5A87">
        <w:rPr>
          <w:rFonts w:ascii="Arial" w:hAnsi="Arial" w:cs="Arial"/>
        </w:rPr>
        <w:t>Mayo</w:t>
      </w:r>
      <w:proofErr w:type="gramEnd"/>
      <w:r w:rsidR="001A616A" w:rsidRPr="00DA5A87">
        <w:rPr>
          <w:rFonts w:ascii="Arial" w:hAnsi="Arial" w:cs="Arial"/>
        </w:rPr>
        <w:t xml:space="preserve">, M.J. </w:t>
      </w:r>
      <w:r w:rsidR="001A616A">
        <w:rPr>
          <w:rFonts w:ascii="Arial" w:hAnsi="Arial" w:cs="Arial"/>
        </w:rPr>
        <w:t xml:space="preserve">y Domínguez-González, A. </w:t>
      </w:r>
      <w:r w:rsidRPr="00DA5A87">
        <w:rPr>
          <w:rFonts w:ascii="Arial" w:hAnsi="Arial" w:cs="Arial"/>
        </w:rPr>
        <w:t xml:space="preserve">(2022). Estrategias integrales para el desarrollo local sostenible. Apuntes sobre innovación en planificación, implementación y evaluación. </w:t>
      </w:r>
      <w:r w:rsidRPr="007227C4">
        <w:rPr>
          <w:rFonts w:ascii="Arial" w:hAnsi="Arial" w:cs="Arial"/>
          <w:lang w:val="en-GB"/>
        </w:rPr>
        <w:t xml:space="preserve">CSPL Jean Monnet Chair </w:t>
      </w:r>
      <w:proofErr w:type="spellStart"/>
      <w:r w:rsidRPr="007227C4">
        <w:rPr>
          <w:rFonts w:ascii="Arial" w:hAnsi="Arial" w:cs="Arial"/>
          <w:lang w:val="en-GB"/>
        </w:rPr>
        <w:t>EUrPO</w:t>
      </w:r>
      <w:r w:rsidR="00F77E8D">
        <w:rPr>
          <w:rFonts w:ascii="Arial" w:hAnsi="Arial" w:cs="Arial"/>
          <w:lang w:val="en-GB"/>
        </w:rPr>
        <w:t>L</w:t>
      </w:r>
      <w:proofErr w:type="spellEnd"/>
      <w:r w:rsidRPr="007227C4">
        <w:rPr>
          <w:rFonts w:ascii="Arial" w:hAnsi="Arial" w:cs="Arial"/>
          <w:lang w:val="en-GB"/>
        </w:rPr>
        <w:t xml:space="preserve">. ISBN: 978-84-09-45815-8, </w:t>
      </w:r>
      <w:hyperlink r:id="rId21" w:history="1">
        <w:r w:rsidRPr="007227C4">
          <w:rPr>
            <w:rStyle w:val="Hipervnculo"/>
            <w:rFonts w:ascii="Arial" w:hAnsi="Arial" w:cs="Arial"/>
            <w:lang w:val="en-GB"/>
          </w:rPr>
          <w:t>https://hdl.handle.net/10433/15268</w:t>
        </w:r>
      </w:hyperlink>
      <w:r w:rsidR="00094549" w:rsidRPr="00B674DC">
        <w:rPr>
          <w:noProof/>
        </w:rPr>
        <w:drawing>
          <wp:anchor distT="0" distB="0" distL="114300" distR="114300" simplePos="0" relativeHeight="251661312" behindDoc="0" locked="0" layoutInCell="1" allowOverlap="1" wp14:anchorId="6FC5DBF4" wp14:editId="652CA5CE">
            <wp:simplePos x="0" y="0"/>
            <wp:positionH relativeFrom="page">
              <wp:posOffset>-66675</wp:posOffset>
            </wp:positionH>
            <wp:positionV relativeFrom="page">
              <wp:posOffset>9722553</wp:posOffset>
            </wp:positionV>
            <wp:extent cx="7757079" cy="95504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757079" cy="955040"/>
                    </a:xfrm>
                    <a:prstGeom prst="rect">
                      <a:avLst/>
                    </a:prstGeom>
                  </pic:spPr>
                </pic:pic>
              </a:graphicData>
            </a:graphic>
            <wp14:sizeRelH relativeFrom="margin">
              <wp14:pctWidth>0</wp14:pctWidth>
            </wp14:sizeRelH>
            <wp14:sizeRelV relativeFrom="margin">
              <wp14:pctHeight>0</wp14:pctHeight>
            </wp14:sizeRelV>
          </wp:anchor>
        </w:drawing>
      </w:r>
    </w:p>
    <w:sectPr w:rsidR="00C86D46" w:rsidRPr="0003738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95F8F" w14:textId="77777777" w:rsidR="00255B6E" w:rsidRDefault="00255B6E" w:rsidP="008069BD">
      <w:pPr>
        <w:spacing w:after="0" w:line="240" w:lineRule="auto"/>
      </w:pPr>
      <w:r>
        <w:separator/>
      </w:r>
    </w:p>
  </w:endnote>
  <w:endnote w:type="continuationSeparator" w:id="0">
    <w:p w14:paraId="3E558163" w14:textId="77777777" w:rsidR="00255B6E" w:rsidRDefault="00255B6E" w:rsidP="00806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C3877" w14:textId="77777777" w:rsidR="00255B6E" w:rsidRDefault="00255B6E" w:rsidP="008069BD">
      <w:pPr>
        <w:spacing w:after="0" w:line="240" w:lineRule="auto"/>
      </w:pPr>
      <w:r>
        <w:separator/>
      </w:r>
    </w:p>
  </w:footnote>
  <w:footnote w:type="continuationSeparator" w:id="0">
    <w:p w14:paraId="7107AED2" w14:textId="77777777" w:rsidR="00255B6E" w:rsidRDefault="00255B6E" w:rsidP="008069BD">
      <w:pPr>
        <w:spacing w:after="0" w:line="240" w:lineRule="auto"/>
      </w:pPr>
      <w:r>
        <w:continuationSeparator/>
      </w:r>
    </w:p>
  </w:footnote>
  <w:footnote w:id="1">
    <w:p w14:paraId="09D9B80A" w14:textId="77722FDC" w:rsidR="008069BD" w:rsidRPr="00DA5A87" w:rsidRDefault="008069BD" w:rsidP="00792440">
      <w:pPr>
        <w:pStyle w:val="Textonotapie"/>
        <w:jc w:val="both"/>
        <w:rPr>
          <w:rFonts w:ascii="Arial" w:hAnsi="Arial" w:cs="Arial"/>
        </w:rPr>
      </w:pPr>
      <w:r w:rsidRPr="00DA5A87">
        <w:rPr>
          <w:rStyle w:val="Refdenotaalpie"/>
          <w:rFonts w:ascii="Arial" w:hAnsi="Arial" w:cs="Arial"/>
        </w:rPr>
        <w:footnoteRef/>
      </w:r>
      <w:r w:rsidRPr="00DA5A87">
        <w:rPr>
          <w:rFonts w:ascii="Arial" w:hAnsi="Arial" w:cs="Arial"/>
        </w:rPr>
        <w:t xml:space="preserve"> </w:t>
      </w:r>
      <w:proofErr w:type="spellStart"/>
      <w:r w:rsidRPr="00DA5A87">
        <w:rPr>
          <w:rFonts w:ascii="Arial" w:hAnsi="Arial" w:cs="Arial"/>
        </w:rPr>
        <w:t>eCUPPA</w:t>
      </w:r>
      <w:proofErr w:type="spellEnd"/>
      <w:r w:rsidRPr="00DA5A87">
        <w:rPr>
          <w:rFonts w:ascii="Arial" w:hAnsi="Arial" w:cs="Arial"/>
        </w:rPr>
        <w:t xml:space="preserve"> ha sido desarrollado en el contexto del proyecto ‘Desarrollo urbano sostenible desde la estrategia de integración de políticas públicas: plataforma on-line para su planificación y análisis (</w:t>
      </w:r>
      <w:proofErr w:type="spellStart"/>
      <w:r w:rsidRPr="00DA5A87">
        <w:rPr>
          <w:rFonts w:ascii="Arial" w:hAnsi="Arial" w:cs="Arial"/>
        </w:rPr>
        <w:t>eSUDePI</w:t>
      </w:r>
      <w:proofErr w:type="spellEnd"/>
      <w:r w:rsidRPr="00DA5A87">
        <w:rPr>
          <w:rFonts w:ascii="Arial" w:hAnsi="Arial" w:cs="Arial"/>
        </w:rPr>
        <w:t xml:space="preserve">)’, financiado por el Ministerio de Ciencia e Innovación y Next </w:t>
      </w:r>
      <w:proofErr w:type="spellStart"/>
      <w:r w:rsidRPr="00DA5A87">
        <w:rPr>
          <w:rFonts w:ascii="Arial" w:hAnsi="Arial" w:cs="Arial"/>
        </w:rPr>
        <w:t>Generationeu</w:t>
      </w:r>
      <w:proofErr w:type="spellEnd"/>
      <w:r w:rsidRPr="00DA5A87">
        <w:rPr>
          <w:rFonts w:ascii="Arial" w:hAnsi="Arial" w:cs="Arial"/>
        </w:rPr>
        <w:t xml:space="preserve"> - Unión Europea (TED2021-130903B-I00).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10EE"/>
    <w:multiLevelType w:val="hybridMultilevel"/>
    <w:tmpl w:val="7C5C4B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CE23CD"/>
    <w:multiLevelType w:val="multilevel"/>
    <w:tmpl w:val="4C64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C0F4E"/>
    <w:multiLevelType w:val="multilevel"/>
    <w:tmpl w:val="C5085B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B2885"/>
    <w:multiLevelType w:val="hybridMultilevel"/>
    <w:tmpl w:val="8AC88C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AC30CF"/>
    <w:multiLevelType w:val="multilevel"/>
    <w:tmpl w:val="54CC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9599B"/>
    <w:multiLevelType w:val="hybridMultilevel"/>
    <w:tmpl w:val="87E49B62"/>
    <w:lvl w:ilvl="0" w:tplc="B09833AC">
      <w:start w:val="1"/>
      <w:numFmt w:val="bullet"/>
      <w:lvlText w:val="–"/>
      <w:lvlJc w:val="left"/>
      <w:pPr>
        <w:ind w:left="720" w:hanging="360"/>
      </w:pPr>
      <w:rPr>
        <w:rFonts w:ascii="Garamond" w:hAnsi="Garamond" w:hint="default"/>
      </w:rPr>
    </w:lvl>
    <w:lvl w:ilvl="1" w:tplc="FFFFFFFF">
      <w:start w:val="1"/>
      <w:numFmt w:val="bullet"/>
      <w:lvlText w:val="o"/>
      <w:lvlJc w:val="left"/>
      <w:pPr>
        <w:ind w:left="1440" w:hanging="360"/>
      </w:pPr>
      <w:rPr>
        <w:rFonts w:ascii="Courier New" w:hAnsi="Courier New" w:cs="Courier New" w:hint="default"/>
      </w:rPr>
    </w:lvl>
    <w:lvl w:ilvl="2" w:tplc="812AB09C">
      <w:start w:val="1"/>
      <w:numFmt w:val="bullet"/>
      <w:lvlText w:val="•"/>
      <w:lvlJc w:val="left"/>
      <w:pPr>
        <w:ind w:left="2505" w:hanging="705"/>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B702D5"/>
    <w:multiLevelType w:val="multilevel"/>
    <w:tmpl w:val="BCEE6FE6"/>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52E67B4C"/>
    <w:multiLevelType w:val="multilevel"/>
    <w:tmpl w:val="0C462D8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426595"/>
    <w:multiLevelType w:val="hybridMultilevel"/>
    <w:tmpl w:val="C37E6BE2"/>
    <w:lvl w:ilvl="0" w:tplc="B09833AC">
      <w:start w:val="1"/>
      <w:numFmt w:val="bullet"/>
      <w:lvlText w:val="–"/>
      <w:lvlJc w:val="left"/>
      <w:pPr>
        <w:ind w:left="720" w:hanging="360"/>
      </w:pPr>
      <w:rPr>
        <w:rFonts w:ascii="Garamond" w:hAnsi="Garamond"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33C3C69"/>
    <w:multiLevelType w:val="hybridMultilevel"/>
    <w:tmpl w:val="F7948E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01058266">
    <w:abstractNumId w:val="3"/>
  </w:num>
  <w:num w:numId="2" w16cid:durableId="776951867">
    <w:abstractNumId w:val="0"/>
  </w:num>
  <w:num w:numId="3" w16cid:durableId="683215440">
    <w:abstractNumId w:val="9"/>
  </w:num>
  <w:num w:numId="4" w16cid:durableId="388726771">
    <w:abstractNumId w:val="6"/>
  </w:num>
  <w:num w:numId="5" w16cid:durableId="1446581733">
    <w:abstractNumId w:val="5"/>
  </w:num>
  <w:num w:numId="6" w16cid:durableId="654183913">
    <w:abstractNumId w:val="8"/>
  </w:num>
  <w:num w:numId="7" w16cid:durableId="281159130">
    <w:abstractNumId w:val="2"/>
  </w:num>
  <w:num w:numId="8" w16cid:durableId="1370836615">
    <w:abstractNumId w:val="1"/>
  </w:num>
  <w:num w:numId="9" w16cid:durableId="814375713">
    <w:abstractNumId w:val="4"/>
  </w:num>
  <w:num w:numId="10" w16cid:durableId="8714609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46"/>
    <w:rsid w:val="000269DA"/>
    <w:rsid w:val="000326B6"/>
    <w:rsid w:val="00037388"/>
    <w:rsid w:val="00046DB4"/>
    <w:rsid w:val="00094549"/>
    <w:rsid w:val="000D471B"/>
    <w:rsid w:val="000E3000"/>
    <w:rsid w:val="001226A8"/>
    <w:rsid w:val="00146903"/>
    <w:rsid w:val="001A616A"/>
    <w:rsid w:val="001A6227"/>
    <w:rsid w:val="001D078E"/>
    <w:rsid w:val="001D0D87"/>
    <w:rsid w:val="001F75F1"/>
    <w:rsid w:val="002423A3"/>
    <w:rsid w:val="00255B6E"/>
    <w:rsid w:val="00266769"/>
    <w:rsid w:val="003068B0"/>
    <w:rsid w:val="0038392E"/>
    <w:rsid w:val="003A0E2C"/>
    <w:rsid w:val="003E143B"/>
    <w:rsid w:val="003E29B0"/>
    <w:rsid w:val="00491A43"/>
    <w:rsid w:val="004F71D1"/>
    <w:rsid w:val="00561028"/>
    <w:rsid w:val="006342C9"/>
    <w:rsid w:val="00705F74"/>
    <w:rsid w:val="0071439D"/>
    <w:rsid w:val="007227C4"/>
    <w:rsid w:val="00790D0C"/>
    <w:rsid w:val="00792440"/>
    <w:rsid w:val="007A793C"/>
    <w:rsid w:val="007C213F"/>
    <w:rsid w:val="008069BD"/>
    <w:rsid w:val="009F41F0"/>
    <w:rsid w:val="009F4CE4"/>
    <w:rsid w:val="00B068CE"/>
    <w:rsid w:val="00B25861"/>
    <w:rsid w:val="00B5293E"/>
    <w:rsid w:val="00B56F35"/>
    <w:rsid w:val="00B65143"/>
    <w:rsid w:val="00B84FD8"/>
    <w:rsid w:val="00BE3374"/>
    <w:rsid w:val="00C86D46"/>
    <w:rsid w:val="00CA5540"/>
    <w:rsid w:val="00D07208"/>
    <w:rsid w:val="00D273E4"/>
    <w:rsid w:val="00E33DD3"/>
    <w:rsid w:val="00F600BD"/>
    <w:rsid w:val="00F77E8D"/>
    <w:rsid w:val="00FA5644"/>
    <w:rsid w:val="00FE38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1F0F"/>
  <w15:chartTrackingRefBased/>
  <w15:docId w15:val="{9B766064-1167-483B-8B0B-BDC2164A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D0D87"/>
    <w:rPr>
      <w:u w:val="single"/>
    </w:rPr>
  </w:style>
  <w:style w:type="paragraph" w:styleId="Prrafodelista">
    <w:name w:val="List Paragraph"/>
    <w:basedOn w:val="Normal"/>
    <w:uiPriority w:val="34"/>
    <w:qFormat/>
    <w:rsid w:val="001D0D87"/>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kern w:val="0"/>
      <w:sz w:val="24"/>
      <w:szCs w:val="24"/>
      <w:bdr w:val="nil"/>
      <w:lang w:val="en-US" w:eastAsia="en-US"/>
      <w14:ligatures w14:val="none"/>
    </w:rPr>
  </w:style>
  <w:style w:type="paragraph" w:customStyle="1" w:styleId="Cuerpo">
    <w:name w:val="Cuerpo"/>
    <w:rsid w:val="00B068C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s-ES_tradnl"/>
      <w14:ligatures w14:val="none"/>
    </w:rPr>
  </w:style>
  <w:style w:type="character" w:customStyle="1" w:styleId="Ninguno">
    <w:name w:val="Ninguno"/>
    <w:rsid w:val="00B068CE"/>
    <w:rPr>
      <w:lang w:val="es-ES_tradnl"/>
    </w:rPr>
  </w:style>
  <w:style w:type="paragraph" w:customStyle="1" w:styleId="Poromisin">
    <w:name w:val="Por omisión"/>
    <w:rsid w:val="00B068C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14:ligatures w14:val="none"/>
    </w:rPr>
  </w:style>
  <w:style w:type="character" w:customStyle="1" w:styleId="Hyperlink0">
    <w:name w:val="Hyperlink.0"/>
    <w:rsid w:val="00B068CE"/>
    <w:rPr>
      <w:color w:val="0000FF"/>
      <w:sz w:val="22"/>
      <w:szCs w:val="22"/>
      <w:u w:val="single" w:color="0000FF"/>
      <w:lang w:val="es-ES_tradnl"/>
    </w:rPr>
  </w:style>
  <w:style w:type="paragraph" w:styleId="Textonotapie">
    <w:name w:val="footnote text"/>
    <w:basedOn w:val="Normal"/>
    <w:link w:val="TextonotapieCar"/>
    <w:uiPriority w:val="99"/>
    <w:semiHidden/>
    <w:unhideWhenUsed/>
    <w:rsid w:val="008069BD"/>
    <w:pPr>
      <w:spacing w:after="0" w:line="240" w:lineRule="auto"/>
    </w:pPr>
    <w:rPr>
      <w:sz w:val="20"/>
      <w:szCs w:val="20"/>
      <w:lang w:eastAsia="en-US"/>
    </w:rPr>
  </w:style>
  <w:style w:type="character" w:customStyle="1" w:styleId="TextonotapieCar">
    <w:name w:val="Texto nota pie Car"/>
    <w:basedOn w:val="Fuentedeprrafopredeter"/>
    <w:link w:val="Textonotapie"/>
    <w:uiPriority w:val="99"/>
    <w:semiHidden/>
    <w:rsid w:val="008069BD"/>
    <w:rPr>
      <w:sz w:val="20"/>
      <w:szCs w:val="20"/>
      <w:lang w:eastAsia="en-US"/>
    </w:rPr>
  </w:style>
  <w:style w:type="character" w:styleId="Refdenotaalpie">
    <w:name w:val="footnote reference"/>
    <w:basedOn w:val="Fuentedeprrafopredeter"/>
    <w:uiPriority w:val="99"/>
    <w:semiHidden/>
    <w:unhideWhenUsed/>
    <w:rsid w:val="008069BD"/>
    <w:rPr>
      <w:vertAlign w:val="superscript"/>
    </w:rPr>
  </w:style>
  <w:style w:type="character" w:styleId="Mencinsinresolver">
    <w:name w:val="Unresolved Mention"/>
    <w:basedOn w:val="Fuentedeprrafopredeter"/>
    <w:uiPriority w:val="99"/>
    <w:semiHidden/>
    <w:unhideWhenUsed/>
    <w:rsid w:val="00032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yzub@upo.es" TargetMode="External"/><Relationship Id="rId18" Type="http://schemas.openxmlformats.org/officeDocument/2006/relationships/hyperlink" Target="https://doi.org/10.1007/s11205-019-02234-5" TargetMode="External"/><Relationship Id="rId3" Type="http://schemas.openxmlformats.org/officeDocument/2006/relationships/customXml" Target="../customXml/item3.xml"/><Relationship Id="rId21" Type="http://schemas.openxmlformats.org/officeDocument/2006/relationships/hyperlink" Target="https://hdl.handle.net/10433/15268" TargetMode="External"/><Relationship Id="rId7" Type="http://schemas.openxmlformats.org/officeDocument/2006/relationships/webSettings" Target="webSettings.xml"/><Relationship Id="rId12" Type="http://schemas.openxmlformats.org/officeDocument/2006/relationships/hyperlink" Target="mailto:mjdorrub@upo.es" TargetMode="External"/><Relationship Id="rId17" Type="http://schemas.openxmlformats.org/officeDocument/2006/relationships/hyperlink" Target="https://doi.org/10.1002/epa2.70011" TargetMode="External"/><Relationship Id="rId2" Type="http://schemas.openxmlformats.org/officeDocument/2006/relationships/customXml" Target="../customXml/item2.xml"/><Relationship Id="rId16" Type="http://schemas.openxmlformats.org/officeDocument/2006/relationships/hyperlink" Target="https://doi.org/10.1007/s11077-024-09562-5" TargetMode="External"/><Relationship Id="rId20" Type="http://schemas.openxmlformats.org/officeDocument/2006/relationships/hyperlink" Target="https://doi.org/10.3828/tpr.2022.1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jguemay@upo.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orcid.org/0000-0001-6567-1831"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016/j.cities.2020.10271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navyan@upo.es" TargetMode="External"/><Relationship Id="rId2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bcecf1-4e4f-4012-b32b-f1dfd1829a30" xsi:nil="true"/>
    <lcf76f155ced4ddcb4097134ff3c332f xmlns="3cfc0b79-8c16-4499-a664-71a1564ec6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7045FBB2B5DBD459A5C2FA5585895A9" ma:contentTypeVersion="14" ma:contentTypeDescription="Crear nuevo documento." ma:contentTypeScope="" ma:versionID="597828c234f0eb0222493bc2bdf437d4">
  <xsd:schema xmlns:xsd="http://www.w3.org/2001/XMLSchema" xmlns:xs="http://www.w3.org/2001/XMLSchema" xmlns:p="http://schemas.microsoft.com/office/2006/metadata/properties" xmlns:ns2="3cfc0b79-8c16-4499-a664-71a1564ec6b6" xmlns:ns3="1dbcecf1-4e4f-4012-b32b-f1dfd1829a30" targetNamespace="http://schemas.microsoft.com/office/2006/metadata/properties" ma:root="true" ma:fieldsID="5860895d2bd49fc17a1728879cede04c" ns2:_="" ns3:_="">
    <xsd:import namespace="3cfc0b79-8c16-4499-a664-71a1564ec6b6"/>
    <xsd:import namespace="1dbcecf1-4e4f-4012-b32b-f1dfd1829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c0b79-8c16-4499-a664-71a1564ec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522dc24-96cd-417c-b653-1aec5a399f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bcecf1-4e4f-4012-b32b-f1dfd1829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c26f81-ee67-44b7-b9f6-f2791b7c2fcf}" ma:internalName="TaxCatchAll" ma:showField="CatchAllData" ma:web="1dbcecf1-4e4f-4012-b32b-f1dfd1829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464EF-2C97-4E0D-AF0D-C04C257D25C9}">
  <ds:schemaRefs>
    <ds:schemaRef ds:uri="http://schemas.microsoft.com/office/2006/metadata/properties"/>
    <ds:schemaRef ds:uri="http://schemas.microsoft.com/office/infopath/2007/PartnerControls"/>
    <ds:schemaRef ds:uri="1dbcecf1-4e4f-4012-b32b-f1dfd1829a30"/>
    <ds:schemaRef ds:uri="3cfc0b79-8c16-4499-a664-71a1564ec6b6"/>
  </ds:schemaRefs>
</ds:datastoreItem>
</file>

<file path=customXml/itemProps2.xml><?xml version="1.0" encoding="utf-8"?>
<ds:datastoreItem xmlns:ds="http://schemas.openxmlformats.org/officeDocument/2006/customXml" ds:itemID="{27911DBA-9FEE-4B36-BA0B-EB2DB242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c0b79-8c16-4499-a664-71a1564ec6b6"/>
    <ds:schemaRef ds:uri="1dbcecf1-4e4f-4012-b32b-f1dfd182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D6679D-1C5B-424F-AD90-5BEA1381B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1520</Words>
  <Characters>9901</Characters>
  <Application>Microsoft Office Word</Application>
  <DocSecurity>0</DocSecurity>
  <Lines>170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García García</dc:creator>
  <cp:keywords/>
  <dc:description/>
  <cp:lastModifiedBy>Maria Jose Guerrero Mayo</cp:lastModifiedBy>
  <cp:revision>4</cp:revision>
  <dcterms:created xsi:type="dcterms:W3CDTF">2026-03-12T11:01:00Z</dcterms:created>
  <dcterms:modified xsi:type="dcterms:W3CDTF">2026-03-13T09:12:00Z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0x010100D7045FBB2B5DBD459A5C2FA5585895A9</vt:lpwstr>
  </property>
</Properties>
</file>