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391CA" w14:textId="3D018D22" w:rsidR="00B068CE" w:rsidRPr="00467E0C" w:rsidRDefault="00C86D46" w:rsidP="00467E0C">
      <w:pPr>
        <w:rPr>
          <w:rStyle w:val="Ninguno"/>
          <w:lang w:val="es-ES"/>
        </w:rPr>
      </w:pPr>
      <w:r>
        <w:rPr>
          <w:noProof/>
        </w:rPr>
        <w:drawing>
          <wp:anchor distT="0" distB="0" distL="114300" distR="114300" simplePos="0" relativeHeight="251658240" behindDoc="0" locked="0" layoutInCell="1" allowOverlap="1" wp14:anchorId="3D0BBE28" wp14:editId="6788CAD1">
            <wp:simplePos x="0" y="0"/>
            <wp:positionH relativeFrom="page">
              <wp:posOffset>-19050</wp:posOffset>
            </wp:positionH>
            <wp:positionV relativeFrom="margin">
              <wp:posOffset>-890270</wp:posOffset>
            </wp:positionV>
            <wp:extent cx="7620000" cy="2160270"/>
            <wp:effectExtent l="0" t="0" r="0" b="0"/>
            <wp:wrapSquare wrapText="bothSides"/>
            <wp:docPr id="14035540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554056" name="Imagen 1"/>
                    <pic:cNvPicPr/>
                  </pic:nvPicPr>
                  <pic:blipFill>
                    <a:blip r:embed="rId10">
                      <a:extLst>
                        <a:ext uri="{28A0092B-C50C-407E-A947-70E740481C1C}">
                          <a14:useLocalDpi xmlns:a14="http://schemas.microsoft.com/office/drawing/2010/main" val="0"/>
                        </a:ext>
                      </a:extLst>
                    </a:blip>
                    <a:stretch>
                      <a:fillRect/>
                    </a:stretch>
                  </pic:blipFill>
                  <pic:spPr>
                    <a:xfrm>
                      <a:off x="0" y="0"/>
                      <a:ext cx="7620000" cy="2160270"/>
                    </a:xfrm>
                    <a:prstGeom prst="rect">
                      <a:avLst/>
                    </a:prstGeom>
                  </pic:spPr>
                </pic:pic>
              </a:graphicData>
            </a:graphic>
            <wp14:sizeRelH relativeFrom="margin">
              <wp14:pctWidth>0</wp14:pctWidth>
            </wp14:sizeRelH>
            <wp14:sizeRelV relativeFrom="margin">
              <wp14:pctHeight>0</wp14:pctHeight>
            </wp14:sizeRelV>
          </wp:anchor>
        </w:drawing>
      </w:r>
    </w:p>
    <w:p w14:paraId="6937C203" w14:textId="77777777" w:rsidR="00FB5C03" w:rsidRDefault="00B068CE" w:rsidP="00FB5C03">
      <w:pPr>
        <w:spacing w:line="240" w:lineRule="auto"/>
        <w:jc w:val="center"/>
        <w:rPr>
          <w:rFonts w:asciiTheme="minorBidi" w:hAnsiTheme="minorBidi"/>
          <w:b/>
          <w:bCs/>
          <w:i/>
          <w:iCs/>
          <w:color w:val="000000"/>
          <w:u w:color="000000"/>
        </w:rPr>
      </w:pPr>
      <w:r>
        <w:rPr>
          <w:rStyle w:val="Ninguno"/>
          <w:rFonts w:ascii="Arial" w:hAnsi="Arial" w:cs="Arial"/>
          <w:b/>
          <w:bCs/>
          <w:color w:val="000000"/>
          <w:u w:color="000000"/>
        </w:rPr>
        <w:br/>
      </w:r>
    </w:p>
    <w:p w14:paraId="78ACFD72" w14:textId="70053041" w:rsidR="00B068CE" w:rsidRPr="00FB5C03" w:rsidRDefault="004A2DBB" w:rsidP="00FB5C03">
      <w:pPr>
        <w:spacing w:line="240" w:lineRule="auto"/>
        <w:jc w:val="center"/>
        <w:rPr>
          <w:rStyle w:val="Ninguno"/>
          <w:rFonts w:asciiTheme="minorBidi" w:hAnsiTheme="minorBidi"/>
          <w:b/>
          <w:bCs/>
          <w:color w:val="000000"/>
          <w:u w:color="000000"/>
          <w:lang w:val="es-ES"/>
        </w:rPr>
      </w:pPr>
      <w:proofErr w:type="spellStart"/>
      <w:r w:rsidRPr="00FB5C03">
        <w:rPr>
          <w:rFonts w:asciiTheme="minorBidi" w:hAnsiTheme="minorBidi"/>
          <w:b/>
          <w:bCs/>
          <w:i/>
          <w:iCs/>
          <w:color w:val="000000"/>
          <w:u w:color="000000"/>
        </w:rPr>
        <w:t>Game</w:t>
      </w:r>
      <w:proofErr w:type="spellEnd"/>
      <w:r w:rsidRPr="00FB5C03">
        <w:rPr>
          <w:rFonts w:asciiTheme="minorBidi" w:hAnsiTheme="minorBidi"/>
          <w:b/>
          <w:bCs/>
          <w:i/>
          <w:iCs/>
          <w:color w:val="000000"/>
          <w:u w:color="000000"/>
        </w:rPr>
        <w:t xml:space="preserve"> Over: Los límites de la afirmación personal en la industria del videojuego</w:t>
      </w:r>
      <w:r w:rsidR="0076093D">
        <w:rPr>
          <w:rStyle w:val="Refdenotaalpie"/>
          <w:rFonts w:asciiTheme="minorBidi" w:hAnsiTheme="minorBidi"/>
          <w:b/>
          <w:bCs/>
          <w:i/>
          <w:iCs/>
          <w:color w:val="000000"/>
          <w:u w:color="000000"/>
        </w:rPr>
        <w:footnoteReference w:id="1"/>
      </w:r>
    </w:p>
    <w:p w14:paraId="1F84036A" w14:textId="77777777" w:rsidR="00B068CE" w:rsidRPr="00FB5C03" w:rsidRDefault="00B068CE" w:rsidP="00FB5C03">
      <w:pPr>
        <w:pStyle w:val="Poromisin"/>
        <w:rPr>
          <w:rFonts w:asciiTheme="minorBidi" w:eastAsia="Arial" w:hAnsiTheme="minorBidi" w:cstheme="minorBidi"/>
          <w:b/>
          <w:bCs/>
          <w:u w:color="000000"/>
          <w:lang w:val="es-ES_tradnl"/>
        </w:rPr>
      </w:pPr>
    </w:p>
    <w:p w14:paraId="32500922" w14:textId="77777777" w:rsidR="00FB5C03" w:rsidRDefault="00FB5C03" w:rsidP="00FB5C03">
      <w:pPr>
        <w:pStyle w:val="Poromisin"/>
        <w:rPr>
          <w:rStyle w:val="Ninguno"/>
          <w:rFonts w:asciiTheme="minorBidi" w:hAnsiTheme="minorBidi" w:cstheme="minorBidi"/>
          <w:b/>
          <w:bCs/>
          <w:u w:color="000000"/>
        </w:rPr>
      </w:pPr>
    </w:p>
    <w:p w14:paraId="68BE09E0" w14:textId="3A037944" w:rsidR="004A2DBB" w:rsidRPr="00FB5C03" w:rsidRDefault="004A2DBB" w:rsidP="00FB5C03">
      <w:pPr>
        <w:pStyle w:val="Poromisin"/>
        <w:rPr>
          <w:rStyle w:val="Ninguno"/>
          <w:rFonts w:asciiTheme="minorBidi" w:hAnsiTheme="minorBidi" w:cstheme="minorBidi"/>
          <w:u w:color="000000"/>
          <w:vertAlign w:val="superscript"/>
        </w:rPr>
      </w:pPr>
      <w:r w:rsidRPr="00FB5C03">
        <w:rPr>
          <w:rStyle w:val="Ninguno"/>
          <w:rFonts w:asciiTheme="minorBidi" w:hAnsiTheme="minorBidi" w:cstheme="minorBidi"/>
          <w:b/>
          <w:bCs/>
          <w:u w:color="000000"/>
        </w:rPr>
        <w:t>Garrido-Sánchez, Luis</w:t>
      </w:r>
      <w:r w:rsidR="00B068CE" w:rsidRPr="00FB5C03">
        <w:rPr>
          <w:rStyle w:val="Ninguno"/>
          <w:rFonts w:asciiTheme="minorBidi" w:hAnsiTheme="minorBidi" w:cstheme="minorBidi"/>
          <w:b/>
          <w:bCs/>
          <w:u w:color="000000"/>
          <w:vertAlign w:val="superscript"/>
        </w:rPr>
        <w:t>a</w:t>
      </w:r>
      <w:r w:rsidR="00B068CE" w:rsidRPr="00FB5C03">
        <w:rPr>
          <w:rStyle w:val="Ninguno"/>
          <w:rFonts w:asciiTheme="minorBidi" w:hAnsiTheme="minorBidi" w:cstheme="minorBidi"/>
          <w:b/>
          <w:bCs/>
          <w:u w:color="000000"/>
        </w:rPr>
        <w:t xml:space="preserve">, </w:t>
      </w:r>
      <w:r w:rsidRPr="00FB5C03">
        <w:rPr>
          <w:rStyle w:val="Ninguno"/>
          <w:rFonts w:asciiTheme="minorBidi" w:hAnsiTheme="minorBidi" w:cstheme="minorBidi"/>
          <w:b/>
          <w:bCs/>
          <w:u w:color="000000"/>
        </w:rPr>
        <w:t>Dueñas-Rello</w:t>
      </w:r>
      <w:r w:rsidRPr="00FB5C03">
        <w:rPr>
          <w:rStyle w:val="Ninguno"/>
          <w:rFonts w:asciiTheme="minorBidi" w:hAnsiTheme="minorBidi" w:cstheme="minorBidi"/>
          <w:b/>
          <w:bCs/>
          <w:u w:color="000000"/>
          <w:vertAlign w:val="superscript"/>
        </w:rPr>
        <w:t>b</w:t>
      </w:r>
      <w:r w:rsidRPr="00FB5C03">
        <w:rPr>
          <w:rStyle w:val="Ninguno"/>
          <w:rFonts w:asciiTheme="minorBidi" w:hAnsiTheme="minorBidi" w:cstheme="minorBidi"/>
          <w:b/>
          <w:bCs/>
          <w:u w:color="000000"/>
        </w:rPr>
        <w:t xml:space="preserve">, </w:t>
      </w:r>
      <w:r w:rsidRPr="00FB5C03">
        <w:rPr>
          <w:rFonts w:asciiTheme="minorBidi" w:hAnsiTheme="minorBidi" w:cstheme="minorBidi"/>
          <w:b/>
          <w:bCs/>
        </w:rPr>
        <w:t>Eri</w:t>
      </w:r>
      <w:r w:rsidRPr="00FB5C03">
        <w:rPr>
          <w:rFonts w:asciiTheme="minorBidi" w:hAnsiTheme="minorBidi" w:cstheme="minorBidi"/>
          <w:b/>
          <w:bCs/>
        </w:rPr>
        <w:t>k</w:t>
      </w:r>
      <w:r w:rsidRPr="00FB5C03">
        <w:rPr>
          <w:rFonts w:asciiTheme="minorBidi" w:hAnsiTheme="minorBidi" w:cstheme="minorBidi"/>
          <w:b/>
          <w:bCs/>
        </w:rPr>
        <w:t>, Mantecón, Alejandro</w:t>
      </w:r>
      <w:r w:rsidRPr="00FB5C03">
        <w:rPr>
          <w:rStyle w:val="Ninguno"/>
          <w:rFonts w:asciiTheme="minorBidi" w:hAnsiTheme="minorBidi" w:cstheme="minorBidi"/>
          <w:u w:color="000000"/>
          <w:vertAlign w:val="superscript"/>
        </w:rPr>
        <w:t>c</w:t>
      </w:r>
    </w:p>
    <w:p w14:paraId="4980620F" w14:textId="55FFA8E7" w:rsidR="00467E0C" w:rsidRPr="00467E0C" w:rsidRDefault="00467E0C" w:rsidP="00FB5C03">
      <w:pPr>
        <w:spacing w:after="0" w:line="240" w:lineRule="auto"/>
        <w:rPr>
          <w:rFonts w:asciiTheme="minorBidi" w:eastAsia="Times New Roman" w:hAnsiTheme="minorBidi"/>
          <w:kern w:val="0"/>
          <w:lang w:bidi="he-IL"/>
          <w14:ligatures w14:val="none"/>
        </w:rPr>
      </w:pPr>
      <w:r w:rsidRPr="00FB5C03">
        <w:rPr>
          <w:rStyle w:val="Ninguno"/>
          <w:rFonts w:asciiTheme="minorBidi" w:hAnsiTheme="minorBidi"/>
          <w:b/>
          <w:bCs/>
          <w:u w:color="000000"/>
          <w:vertAlign w:val="superscript"/>
        </w:rPr>
        <w:t>a</w:t>
      </w:r>
      <w:r w:rsidRPr="00467E0C">
        <w:rPr>
          <w:rFonts w:asciiTheme="minorBidi" w:eastAsia="Times New Roman" w:hAnsiTheme="minorBidi"/>
          <w:color w:val="000000"/>
          <w:kern w:val="0"/>
          <w:vertAlign w:val="superscript"/>
          <w:lang w:bidi="he-IL"/>
          <w14:ligatures w14:val="none"/>
        </w:rPr>
        <w:t xml:space="preserve"> </w:t>
      </w:r>
      <w:r w:rsidRPr="00467E0C">
        <w:rPr>
          <w:rFonts w:asciiTheme="minorBidi" w:eastAsia="Times New Roman" w:hAnsiTheme="minorBidi"/>
          <w:color w:val="000000"/>
          <w:kern w:val="0"/>
          <w:lang w:bidi="he-IL"/>
          <w14:ligatures w14:val="none"/>
        </w:rPr>
        <w:t>Universidad Complutense de Madrid, e-mail:</w:t>
      </w:r>
      <w:r w:rsidRPr="00FB5C03">
        <w:rPr>
          <w:rFonts w:asciiTheme="minorBidi" w:eastAsia="Times New Roman" w:hAnsiTheme="minorBidi"/>
          <w:color w:val="000000"/>
          <w:kern w:val="0"/>
          <w:lang w:bidi="he-IL"/>
          <w14:ligatures w14:val="none"/>
        </w:rPr>
        <w:t xml:space="preserve"> </w:t>
      </w:r>
      <w:hyperlink r:id="rId11" w:history="1">
        <w:r w:rsidRPr="00FB5C03">
          <w:rPr>
            <w:rStyle w:val="Hipervnculo"/>
            <w:rFonts w:asciiTheme="minorBidi" w:eastAsia="Times New Roman" w:hAnsiTheme="minorBidi"/>
            <w:kern w:val="0"/>
            <w:lang w:bidi="he-IL"/>
            <w14:ligatures w14:val="none"/>
          </w:rPr>
          <w:t>lugarr03@ucm.es</w:t>
        </w:r>
      </w:hyperlink>
      <w:r w:rsidRPr="00FB5C03">
        <w:rPr>
          <w:rFonts w:asciiTheme="minorBidi" w:eastAsia="Times New Roman" w:hAnsiTheme="minorBidi"/>
          <w:kern w:val="0"/>
          <w:lang w:bidi="he-IL"/>
          <w14:ligatures w14:val="none"/>
        </w:rPr>
        <w:t xml:space="preserve"> </w:t>
      </w:r>
      <w:r w:rsidRPr="00467E0C">
        <w:rPr>
          <w:rFonts w:asciiTheme="minorBidi" w:eastAsia="Times New Roman" w:hAnsiTheme="minorBidi"/>
          <w:color w:val="000000"/>
          <w:kern w:val="0"/>
          <w:lang w:bidi="he-IL"/>
          <w14:ligatures w14:val="none"/>
        </w:rPr>
        <w:t xml:space="preserve">; </w:t>
      </w:r>
      <w:r w:rsidRPr="00FB5C03">
        <w:rPr>
          <w:rStyle w:val="Ninguno"/>
          <w:rFonts w:asciiTheme="minorBidi" w:hAnsiTheme="minorBidi"/>
          <w:b/>
          <w:bCs/>
          <w:u w:color="000000"/>
          <w:vertAlign w:val="superscript"/>
        </w:rPr>
        <w:t>b</w:t>
      </w:r>
      <w:r w:rsidRPr="00467E0C">
        <w:rPr>
          <w:rFonts w:asciiTheme="minorBidi" w:eastAsia="Times New Roman" w:hAnsiTheme="minorBidi"/>
          <w:color w:val="000000"/>
          <w:kern w:val="0"/>
          <w:lang w:bidi="he-IL"/>
          <w14:ligatures w14:val="none"/>
        </w:rPr>
        <w:t xml:space="preserve">Universidad Complutense de Madrid, e-mail: </w:t>
      </w:r>
      <w:r w:rsidRPr="00467E0C">
        <w:rPr>
          <w:rFonts w:asciiTheme="minorBidi" w:eastAsia="Times New Roman" w:hAnsiTheme="minorBidi"/>
          <w:color w:val="0000FF"/>
          <w:kern w:val="0"/>
          <w:u w:val="single"/>
          <w:lang w:bidi="he-IL"/>
          <w14:ligatures w14:val="none"/>
        </w:rPr>
        <w:t>eduenas@ucm.es</w:t>
      </w:r>
      <w:r w:rsidRPr="00467E0C">
        <w:rPr>
          <w:rFonts w:asciiTheme="minorBidi" w:eastAsia="Times New Roman" w:hAnsiTheme="minorBidi"/>
          <w:color w:val="000000"/>
          <w:kern w:val="0"/>
          <w:lang w:bidi="he-IL"/>
          <w14:ligatures w14:val="none"/>
        </w:rPr>
        <w:t xml:space="preserve">; </w:t>
      </w:r>
      <w:r w:rsidRPr="00FB5C03">
        <w:rPr>
          <w:rStyle w:val="Ninguno"/>
          <w:rFonts w:asciiTheme="minorBidi" w:hAnsiTheme="minorBidi"/>
          <w:b/>
          <w:bCs/>
          <w:u w:color="000000"/>
          <w:vertAlign w:val="superscript"/>
        </w:rPr>
        <w:t>c</w:t>
      </w:r>
      <w:r w:rsidRPr="00467E0C">
        <w:rPr>
          <w:rFonts w:asciiTheme="minorBidi" w:eastAsia="Times New Roman" w:hAnsiTheme="minorBidi"/>
          <w:color w:val="000000"/>
          <w:kern w:val="0"/>
          <w:vertAlign w:val="superscript"/>
          <w:lang w:bidi="he-IL"/>
          <w14:ligatures w14:val="none"/>
        </w:rPr>
        <w:t xml:space="preserve"> </w:t>
      </w:r>
      <w:r w:rsidRPr="00467E0C">
        <w:rPr>
          <w:rFonts w:asciiTheme="minorBidi" w:eastAsia="Times New Roman" w:hAnsiTheme="minorBidi"/>
          <w:color w:val="000000"/>
          <w:kern w:val="0"/>
          <w:lang w:bidi="he-IL"/>
          <w14:ligatures w14:val="none"/>
        </w:rPr>
        <w:t xml:space="preserve">Universidad de Alicante, e-mail: </w:t>
      </w:r>
      <w:r w:rsidRPr="00467E0C">
        <w:rPr>
          <w:rFonts w:asciiTheme="minorBidi" w:eastAsia="Times New Roman" w:hAnsiTheme="minorBidi"/>
          <w:color w:val="0000FF"/>
          <w:kern w:val="0"/>
          <w:u w:val="single"/>
          <w:lang w:bidi="he-IL"/>
          <w14:ligatures w14:val="none"/>
        </w:rPr>
        <w:t>alejandro.mantecon@ua.es</w:t>
      </w:r>
    </w:p>
    <w:p w14:paraId="18411B8E" w14:textId="77777777" w:rsidR="00B068CE" w:rsidRPr="00FB5C03" w:rsidRDefault="00B068CE" w:rsidP="00FB5C03">
      <w:pPr>
        <w:pStyle w:val="Cuerpo"/>
        <w:jc w:val="both"/>
        <w:rPr>
          <w:rStyle w:val="Ninguno"/>
          <w:rFonts w:asciiTheme="minorBidi" w:hAnsiTheme="minorBidi" w:cstheme="minorBidi"/>
          <w:b/>
          <w:bCs/>
          <w:u w:color="000000"/>
        </w:rPr>
      </w:pPr>
    </w:p>
    <w:p w14:paraId="14CAE783" w14:textId="34E84896" w:rsidR="00B068CE" w:rsidRPr="00FB5C03" w:rsidRDefault="00B068CE" w:rsidP="00FB5C03">
      <w:pPr>
        <w:pStyle w:val="Cuerpo"/>
        <w:jc w:val="both"/>
        <w:rPr>
          <w:rStyle w:val="Ninguno"/>
          <w:rFonts w:asciiTheme="minorBidi" w:eastAsia="Arial" w:hAnsiTheme="minorBidi" w:cstheme="minorBidi"/>
          <w:color w:val="auto"/>
          <w:u w:color="000000"/>
        </w:rPr>
      </w:pPr>
      <w:r w:rsidRPr="00FB5C03">
        <w:rPr>
          <w:rStyle w:val="Ninguno"/>
          <w:rFonts w:asciiTheme="minorBidi" w:hAnsiTheme="minorBidi" w:cstheme="minorBidi"/>
          <w:b/>
          <w:bCs/>
          <w:u w:color="000000"/>
        </w:rPr>
        <w:t>Palabras clave:</w:t>
      </w:r>
      <w:r w:rsidRPr="00FB5C03">
        <w:rPr>
          <w:rStyle w:val="Ninguno"/>
          <w:rFonts w:asciiTheme="minorBidi" w:hAnsiTheme="minorBidi" w:cstheme="minorBidi"/>
          <w:u w:color="000000"/>
        </w:rPr>
        <w:t xml:space="preserve"> </w:t>
      </w:r>
      <w:r w:rsidR="002612EF" w:rsidRPr="00FB5C03">
        <w:rPr>
          <w:rStyle w:val="Ninguno"/>
          <w:rFonts w:asciiTheme="minorBidi" w:eastAsiaTheme="minorHAnsi" w:hAnsiTheme="minorBidi" w:cstheme="minorBidi"/>
          <w:bCs/>
          <w:color w:val="auto"/>
          <w:kern w:val="2"/>
          <w:u w:color="000000"/>
          <w:bdr w:val="none" w:sz="0" w:space="0" w:color="auto"/>
          <w14:ligatures w14:val="standardContextual"/>
        </w:rPr>
        <w:t>identidad profesional, vocación, precariedad, industrias culturales y creativas, videojuegos.</w:t>
      </w:r>
    </w:p>
    <w:p w14:paraId="3C439278" w14:textId="1CE9A1B2" w:rsidR="00B068CE" w:rsidRPr="00FB5C03" w:rsidRDefault="00B068CE" w:rsidP="00FB5C03">
      <w:pPr>
        <w:spacing w:line="240" w:lineRule="auto"/>
        <w:rPr>
          <w:rFonts w:asciiTheme="minorBidi" w:hAnsiTheme="minorBidi"/>
          <w:b/>
          <w:bCs/>
        </w:rPr>
      </w:pPr>
      <w:r w:rsidRPr="00FB5C03">
        <w:rPr>
          <w:rFonts w:asciiTheme="minorBidi" w:hAnsiTheme="minorBidi"/>
          <w:b/>
          <w:bCs/>
        </w:rPr>
        <w:br/>
        <w:t>Grupo de trabajo</w:t>
      </w:r>
      <w:r w:rsidR="00491A43" w:rsidRPr="00FB5C03">
        <w:rPr>
          <w:rFonts w:asciiTheme="minorBidi" w:hAnsiTheme="minorBidi"/>
          <w:b/>
          <w:bCs/>
        </w:rPr>
        <w:t>:</w:t>
      </w:r>
      <w:r w:rsidRPr="00FB5C03">
        <w:rPr>
          <w:rFonts w:asciiTheme="minorBidi" w:hAnsiTheme="minorBidi"/>
          <w:b/>
          <w:bCs/>
        </w:rPr>
        <w:t xml:space="preserve"> </w:t>
      </w:r>
      <w:r w:rsidR="002612EF" w:rsidRPr="00FB5C03">
        <w:rPr>
          <w:rStyle w:val="Ninguno"/>
          <w:rFonts w:asciiTheme="minorBidi" w:hAnsiTheme="minorBidi"/>
          <w:bCs/>
          <w:u w:color="000000"/>
        </w:rPr>
        <w:t>GT 7 Sociología del Trabajo</w:t>
      </w:r>
    </w:p>
    <w:p w14:paraId="0756CD9B" w14:textId="77777777" w:rsidR="00B068CE" w:rsidRPr="00FB5C03" w:rsidRDefault="00B068CE" w:rsidP="00FB5C03">
      <w:pPr>
        <w:spacing w:line="240" w:lineRule="auto"/>
        <w:rPr>
          <w:rFonts w:asciiTheme="minorBidi" w:hAnsiTheme="minorBidi"/>
          <w:b/>
          <w:bCs/>
        </w:rPr>
      </w:pPr>
      <w:r w:rsidRPr="00FB5C03">
        <w:rPr>
          <w:rFonts w:asciiTheme="minorBidi" w:hAnsiTheme="minorBidi"/>
          <w:b/>
          <w:bCs/>
        </w:rPr>
        <w:t>1) Introducción: presentación y objetivos</w:t>
      </w:r>
    </w:p>
    <w:p w14:paraId="4843F844" w14:textId="77777777" w:rsidR="002612EF" w:rsidRPr="002612EF" w:rsidRDefault="002612EF" w:rsidP="00FB5C03">
      <w:pPr>
        <w:spacing w:after="0" w:line="240" w:lineRule="auto"/>
        <w:jc w:val="both"/>
        <w:rPr>
          <w:rFonts w:asciiTheme="minorBidi" w:eastAsia="Times New Roman" w:hAnsiTheme="minorBidi"/>
          <w:kern w:val="0"/>
          <w:lang w:bidi="he-IL"/>
          <w14:ligatures w14:val="none"/>
        </w:rPr>
      </w:pPr>
      <w:r w:rsidRPr="002612EF">
        <w:rPr>
          <w:rFonts w:asciiTheme="minorBidi" w:eastAsia="Times New Roman" w:hAnsiTheme="minorBidi"/>
          <w:color w:val="000000"/>
          <w:kern w:val="0"/>
          <w:lang w:bidi="he-IL"/>
          <w14:ligatures w14:val="none"/>
        </w:rPr>
        <w:t xml:space="preserve">La industria del videojuego se ha consolidado como un espacio privilegiado para analizar cómo el capitalismo postfordista reconfigura las formas contemporáneas de organización, así como los procesos de movilización y subjetivación del trabajo. Numerosas investigaciones han mostrado que sus estrategias de rentabilidad se sostienen, en gran medida, en una alta intensificación del trabajo conocida como </w:t>
      </w:r>
      <w:r w:rsidRPr="002612EF">
        <w:rPr>
          <w:rFonts w:asciiTheme="minorBidi" w:eastAsia="Times New Roman" w:hAnsiTheme="minorBidi"/>
          <w:i/>
          <w:iCs/>
          <w:color w:val="000000"/>
          <w:kern w:val="0"/>
          <w:lang w:bidi="he-IL"/>
          <w14:ligatures w14:val="none"/>
        </w:rPr>
        <w:t>crunch</w:t>
      </w:r>
      <w:r w:rsidRPr="002612EF">
        <w:rPr>
          <w:rFonts w:asciiTheme="minorBidi" w:eastAsia="Times New Roman" w:hAnsiTheme="minorBidi"/>
          <w:color w:val="000000"/>
          <w:kern w:val="0"/>
          <w:lang w:bidi="he-IL"/>
          <w14:ligatures w14:val="none"/>
        </w:rPr>
        <w:t xml:space="preserve">. Dicho término es utilizado por los propios desarrolladores para referirse a la prolongación de sus jornadas laborales en la fase final del proyecto con el fin de cumplir con el calendario de producción. Estas investigaciones han analizado cómo los trabajadores interpretan y, en muchos casos, llegan a legitimar estas prácticas de intensificación del trabajo, vinculándolas a nociones como el </w:t>
      </w:r>
      <w:r w:rsidRPr="002612EF">
        <w:rPr>
          <w:rFonts w:asciiTheme="minorBidi" w:eastAsia="Times New Roman" w:hAnsiTheme="minorBidi"/>
          <w:i/>
          <w:iCs/>
          <w:color w:val="000000"/>
          <w:kern w:val="0"/>
          <w:lang w:bidi="he-IL"/>
          <w14:ligatures w14:val="none"/>
        </w:rPr>
        <w:t>trabajo apasionado</w:t>
      </w:r>
      <w:r w:rsidRPr="002612EF">
        <w:rPr>
          <w:rFonts w:asciiTheme="minorBidi" w:eastAsia="Times New Roman" w:hAnsiTheme="minorBidi"/>
          <w:color w:val="000000"/>
          <w:kern w:val="0"/>
          <w:lang w:bidi="he-IL"/>
          <w14:ligatures w14:val="none"/>
        </w:rPr>
        <w:t xml:space="preserve">, </w:t>
      </w:r>
      <w:r w:rsidRPr="002612EF">
        <w:rPr>
          <w:rFonts w:asciiTheme="minorBidi" w:eastAsia="Times New Roman" w:hAnsiTheme="minorBidi"/>
          <w:i/>
          <w:iCs/>
          <w:color w:val="000000"/>
          <w:kern w:val="0"/>
          <w:lang w:bidi="he-IL"/>
          <w14:ligatures w14:val="none"/>
        </w:rPr>
        <w:t>trabajo de esperanza</w:t>
      </w:r>
      <w:r w:rsidRPr="002612EF">
        <w:rPr>
          <w:rFonts w:asciiTheme="minorBidi" w:eastAsia="Times New Roman" w:hAnsiTheme="minorBidi"/>
          <w:color w:val="000000"/>
          <w:kern w:val="0"/>
          <w:lang w:bidi="he-IL"/>
          <w14:ligatures w14:val="none"/>
        </w:rPr>
        <w:t xml:space="preserve"> o </w:t>
      </w:r>
      <w:r w:rsidRPr="002612EF">
        <w:rPr>
          <w:rFonts w:asciiTheme="minorBidi" w:eastAsia="Times New Roman" w:hAnsiTheme="minorBidi"/>
          <w:i/>
          <w:iCs/>
          <w:color w:val="000000"/>
          <w:kern w:val="0"/>
          <w:lang w:bidi="he-IL"/>
          <w14:ligatures w14:val="none"/>
        </w:rPr>
        <w:t>trabajo vocacional</w:t>
      </w:r>
      <w:r w:rsidRPr="002612EF">
        <w:rPr>
          <w:rFonts w:asciiTheme="minorBidi" w:eastAsia="Times New Roman" w:hAnsiTheme="minorBidi"/>
          <w:color w:val="000000"/>
          <w:kern w:val="0"/>
          <w:lang w:bidi="he-IL"/>
          <w14:ligatures w14:val="none"/>
        </w:rPr>
        <w:t>. Desde esta perspectiva, el crunch aparece no solo como precio a pagar para permanecer en la industria, sino también como una prueba del compromiso profesional y de pertenencia a una comunidad vocacional (Pelletier, 2024; Weststar y Dubois, 2023; Cote y Harris, 2023; Bulut, 2020; Whitson, 2019; Peticca-Harris et al., 2015; Dyer-Whiteford y Peuter, 2006).</w:t>
      </w:r>
    </w:p>
    <w:p w14:paraId="72982277" w14:textId="77777777" w:rsidR="002612EF" w:rsidRPr="002612EF" w:rsidRDefault="002612EF" w:rsidP="00FB5C03">
      <w:pPr>
        <w:spacing w:after="0" w:line="240" w:lineRule="auto"/>
        <w:rPr>
          <w:rFonts w:asciiTheme="minorBidi" w:eastAsia="Times New Roman" w:hAnsiTheme="minorBidi"/>
          <w:kern w:val="0"/>
          <w:lang w:bidi="he-IL"/>
          <w14:ligatures w14:val="none"/>
        </w:rPr>
      </w:pPr>
    </w:p>
    <w:p w14:paraId="516F204C" w14:textId="77777777" w:rsidR="002612EF" w:rsidRPr="002612EF" w:rsidRDefault="002612EF" w:rsidP="00FB5C03">
      <w:pPr>
        <w:spacing w:after="0" w:line="240" w:lineRule="auto"/>
        <w:jc w:val="both"/>
        <w:rPr>
          <w:rFonts w:asciiTheme="minorBidi" w:eastAsia="Times New Roman" w:hAnsiTheme="minorBidi"/>
          <w:kern w:val="0"/>
          <w:lang w:bidi="he-IL"/>
          <w14:ligatures w14:val="none"/>
        </w:rPr>
      </w:pPr>
      <w:r w:rsidRPr="002612EF">
        <w:rPr>
          <w:rFonts w:asciiTheme="minorBidi" w:eastAsia="Times New Roman" w:hAnsiTheme="minorBidi"/>
          <w:color w:val="000000"/>
          <w:kern w:val="0"/>
          <w:lang w:bidi="he-IL"/>
          <w14:ligatures w14:val="none"/>
        </w:rPr>
        <w:t xml:space="preserve">Sin embargo, la mayor parte de estas investigaciones se ha centrado exclusivamente en el contexto anglosajón, específicamente en Estados Unidos, limitando su capacidad para dar cuenta de dinámicas específicas en otros entornos. Por ello, en esta comunicación atendemos al caso de los trabajadores de la industria del videojuego en España, explorando la relación entre, por un lado, las expectativas relativas a un trabajo altamente creativo y vocacional y, por otro, las formas concretas de precariedad a las que se enfrentan en sus experiencias laborales. Nuestro objetivo es comprender cómo </w:t>
      </w:r>
      <w:r w:rsidRPr="002612EF">
        <w:rPr>
          <w:rFonts w:asciiTheme="minorBidi" w:eastAsia="Times New Roman" w:hAnsiTheme="minorBidi"/>
          <w:color w:val="000000"/>
          <w:kern w:val="0"/>
          <w:lang w:bidi="he-IL"/>
          <w14:ligatures w14:val="none"/>
        </w:rPr>
        <w:lastRenderedPageBreak/>
        <w:t>los trabajadores más creativos de la industria del videojuego articulan y reconstruyen su identidad laboral y su relación con el trabajo en su encuentro con las condiciones estructurales propias del contexto español.</w:t>
      </w:r>
    </w:p>
    <w:p w14:paraId="4D9391A4" w14:textId="77777777" w:rsidR="002612EF" w:rsidRDefault="002612EF" w:rsidP="00FB5C03">
      <w:pPr>
        <w:spacing w:line="240" w:lineRule="auto"/>
        <w:rPr>
          <w:rFonts w:asciiTheme="minorBidi" w:hAnsiTheme="minorBidi"/>
          <w:b/>
          <w:bCs/>
        </w:rPr>
      </w:pPr>
    </w:p>
    <w:p w14:paraId="15597C0D" w14:textId="77777777" w:rsidR="00B068CE" w:rsidRPr="00FB5C03" w:rsidRDefault="00B068CE" w:rsidP="00FB5C03">
      <w:pPr>
        <w:spacing w:line="240" w:lineRule="auto"/>
        <w:rPr>
          <w:rFonts w:asciiTheme="minorBidi" w:hAnsiTheme="minorBidi"/>
          <w:b/>
          <w:bCs/>
        </w:rPr>
      </w:pPr>
      <w:r w:rsidRPr="00FB5C03">
        <w:rPr>
          <w:rFonts w:asciiTheme="minorBidi" w:hAnsiTheme="minorBidi"/>
          <w:b/>
          <w:bCs/>
        </w:rPr>
        <w:t>2) Planteamiento teórico-metodológico </w:t>
      </w:r>
    </w:p>
    <w:p w14:paraId="31807B65" w14:textId="77777777" w:rsidR="00FB5C03" w:rsidRPr="00FB5C03" w:rsidRDefault="00FB5C03" w:rsidP="00FB5C03">
      <w:pPr>
        <w:spacing w:after="200" w:line="240" w:lineRule="auto"/>
        <w:jc w:val="both"/>
        <w:rPr>
          <w:rFonts w:asciiTheme="minorBidi" w:eastAsia="Times New Roman" w:hAnsiTheme="minorBidi"/>
          <w:kern w:val="0"/>
          <w:lang w:bidi="he-IL"/>
          <w14:ligatures w14:val="none"/>
        </w:rPr>
      </w:pPr>
      <w:r w:rsidRPr="00FB5C03">
        <w:rPr>
          <w:rFonts w:asciiTheme="minorBidi" w:eastAsia="Times New Roman" w:hAnsiTheme="minorBidi"/>
          <w:color w:val="000000"/>
          <w:kern w:val="0"/>
          <w:lang w:bidi="he-IL"/>
          <w14:ligatures w14:val="none"/>
        </w:rPr>
        <w:t>Las particularidades del mercado español ofrecen claves analíticas valiosas para repensar cómo se configura la identidad profesional de los desarrolladores en la industria del videojuego. Frente a los modelos interpretativos elaborados desde el contexto anglosajón, donde la autonomía creativa y el emprendimiento se erigen como rasgos centrales de una identidad profesional legitimada por la promesa de autoexpresión y movilidad ascendente, el caso español presenta un marco estructural que limita severamente la cristalización de dichas aspiraciones y reorienta el modo en que los trabajadores se relacionan con la noción de sacrificio. </w:t>
      </w:r>
    </w:p>
    <w:p w14:paraId="290A9A26" w14:textId="77777777" w:rsidR="00FB5C03" w:rsidRPr="00FB5C03" w:rsidRDefault="00FB5C03" w:rsidP="00FB5C03">
      <w:pPr>
        <w:spacing w:after="200" w:line="240" w:lineRule="auto"/>
        <w:jc w:val="both"/>
        <w:rPr>
          <w:rFonts w:asciiTheme="minorBidi" w:eastAsia="Times New Roman" w:hAnsiTheme="minorBidi"/>
          <w:kern w:val="0"/>
          <w:lang w:bidi="he-IL"/>
          <w14:ligatures w14:val="none"/>
        </w:rPr>
      </w:pPr>
      <w:r w:rsidRPr="00FB5C03">
        <w:rPr>
          <w:rFonts w:asciiTheme="minorBidi" w:eastAsia="Times New Roman" w:hAnsiTheme="minorBidi"/>
          <w:color w:val="000000"/>
          <w:kern w:val="0"/>
          <w:lang w:bidi="he-IL"/>
          <w14:ligatures w14:val="none"/>
        </w:rPr>
        <w:t xml:space="preserve">Un análisis exploratorio de los microdatos de la </w:t>
      </w:r>
      <w:proofErr w:type="spellStart"/>
      <w:r w:rsidRPr="00FB5C03">
        <w:rPr>
          <w:rFonts w:asciiTheme="minorBidi" w:eastAsia="Times New Roman" w:hAnsiTheme="minorBidi"/>
          <w:i/>
          <w:iCs/>
          <w:color w:val="000000"/>
          <w:kern w:val="0"/>
          <w:lang w:bidi="he-IL"/>
          <w14:ligatures w14:val="none"/>
        </w:rPr>
        <w:t>European</w:t>
      </w:r>
      <w:proofErr w:type="spellEnd"/>
      <w:r w:rsidRPr="00FB5C03">
        <w:rPr>
          <w:rFonts w:asciiTheme="minorBidi" w:eastAsia="Times New Roman" w:hAnsiTheme="minorBidi"/>
          <w:i/>
          <w:iCs/>
          <w:color w:val="000000"/>
          <w:kern w:val="0"/>
          <w:lang w:bidi="he-IL"/>
          <w14:ligatures w14:val="none"/>
        </w:rPr>
        <w:t xml:space="preserve"> Social </w:t>
      </w:r>
      <w:proofErr w:type="spellStart"/>
      <w:r w:rsidRPr="00FB5C03">
        <w:rPr>
          <w:rFonts w:asciiTheme="minorBidi" w:eastAsia="Times New Roman" w:hAnsiTheme="minorBidi"/>
          <w:i/>
          <w:iCs/>
          <w:color w:val="000000"/>
          <w:kern w:val="0"/>
          <w:lang w:bidi="he-IL"/>
          <w14:ligatures w14:val="none"/>
        </w:rPr>
        <w:t>Survey</w:t>
      </w:r>
      <w:proofErr w:type="spellEnd"/>
      <w:r w:rsidRPr="00FB5C03">
        <w:rPr>
          <w:rFonts w:asciiTheme="minorBidi" w:eastAsia="Times New Roman" w:hAnsiTheme="minorBidi"/>
          <w:color w:val="000000"/>
          <w:kern w:val="0"/>
          <w:lang w:bidi="he-IL"/>
          <w14:ligatures w14:val="none"/>
        </w:rPr>
        <w:t xml:space="preserve"> (2023) permite observar que los trabajadores digitales en España declaran mayores expectativas de realizar horas extras (37,1%) que la media europea (28%). No obstante, muestran una menor disposición a asumir responsabilidades adicionales sin compensación económica: el 46% se opone a hacerlo, frente al 27% del promedio europeo. Esta tendencia se ve reforzada por los datos nacionales sobre las condiciones de vida y trabajo de los desarrolladores de videojuegos en España: en 2020, el 58% de los trabajadores realizó horas extras y, de ellos, el 75% no recibió remuneración alguna por ese tiempo adicional (Roldán-Párraga, 2020). </w:t>
      </w:r>
    </w:p>
    <w:p w14:paraId="24F8C083" w14:textId="1BFA34AE" w:rsidR="00B068CE" w:rsidRPr="00FB5C03" w:rsidRDefault="00FB5C03" w:rsidP="00FB5C03">
      <w:pPr>
        <w:spacing w:after="200" w:line="240" w:lineRule="auto"/>
        <w:jc w:val="both"/>
        <w:rPr>
          <w:rFonts w:asciiTheme="minorBidi" w:eastAsia="Times New Roman" w:hAnsiTheme="minorBidi"/>
          <w:kern w:val="0"/>
          <w:lang w:bidi="he-IL"/>
          <w14:ligatures w14:val="none"/>
        </w:rPr>
      </w:pPr>
      <w:r w:rsidRPr="00FB5C03">
        <w:rPr>
          <w:rFonts w:asciiTheme="minorBidi" w:eastAsia="Times New Roman" w:hAnsiTheme="minorBidi"/>
          <w:color w:val="000000"/>
          <w:kern w:val="0"/>
          <w:lang w:bidi="he-IL"/>
          <w14:ligatures w14:val="none"/>
        </w:rPr>
        <w:t>Sobre esta base, la comunicación analiza cómo la configuración del mercado laboral español incide en la relación que establecen los desarrolladores con su trabajo. El análisis se apoya en 25 entrevistas semiestructuradas con desarrolladores residentes en España. Las entrevistas permitieron reconstruir sus trayectorias profesionales, indagando en las aspiraciones que motivaron su interés en el sector, la etapa formativa y las primeras experiencias laborales, la valoración de las condiciones de trabajo, así como la influencia de estas experiencias en la percepción de su identidad personal. De este modo, tratamos de reconstruir no solo las experiencias laborales, sino también la valoración de la situación actual de la industria, los significados que atribuyen a sus prácticas y problemas profesionales y la imagen de sí mismos que resulta de la confrontación entre las expectativas y demandas organizacionales y los anhelos individuales.</w:t>
      </w:r>
    </w:p>
    <w:p w14:paraId="75FE277F" w14:textId="77777777" w:rsidR="00B068CE" w:rsidRPr="00FB5C03" w:rsidRDefault="00B068CE" w:rsidP="00FB5C03">
      <w:pPr>
        <w:spacing w:line="240" w:lineRule="auto"/>
        <w:rPr>
          <w:rFonts w:asciiTheme="minorBidi" w:hAnsiTheme="minorBidi"/>
          <w:b/>
          <w:bCs/>
        </w:rPr>
      </w:pPr>
      <w:r w:rsidRPr="00FB5C03">
        <w:rPr>
          <w:rFonts w:asciiTheme="minorBidi" w:hAnsiTheme="minorBidi"/>
          <w:b/>
          <w:bCs/>
        </w:rPr>
        <w:t>3) Resultados: principales aportaciones, resultados y conclusiones</w:t>
      </w:r>
    </w:p>
    <w:p w14:paraId="5312444E" w14:textId="77777777" w:rsidR="00FB5C03" w:rsidRPr="00FB5C03" w:rsidRDefault="00FB5C03" w:rsidP="00FB5C03">
      <w:pPr>
        <w:spacing w:line="240" w:lineRule="auto"/>
        <w:jc w:val="both"/>
        <w:rPr>
          <w:rFonts w:asciiTheme="minorBidi" w:eastAsia="Times New Roman" w:hAnsiTheme="minorBidi"/>
          <w:kern w:val="0"/>
          <w:lang w:bidi="he-IL"/>
          <w14:ligatures w14:val="none"/>
        </w:rPr>
      </w:pPr>
      <w:r w:rsidRPr="00FB5C03">
        <w:rPr>
          <w:rFonts w:asciiTheme="minorBidi" w:eastAsia="Times New Roman" w:hAnsiTheme="minorBidi"/>
          <w:color w:val="000000"/>
          <w:kern w:val="0"/>
          <w:lang w:bidi="he-IL"/>
          <w14:ligatures w14:val="none"/>
        </w:rPr>
        <w:t>Los discursos de las personas entrevistadas revelan una relación ambivalente con su trabajo. Por un lado, se observa un esfuerzo por sostener una relación positiva con la actividad laboral, estrechamente vinculada a sus trayectorias biográficas y aspiraciones personales asociadas al trabajo creativo. Por otro, las entrevistas describen un contexto productivo en el que la subordinación a criterios de eficiencia y rentabilidad tiende a devaluar el carácter creativo del trabajo, dando lugar a procesos de descualificación que erosionan el vínculo con la actividad laboral.</w:t>
      </w:r>
    </w:p>
    <w:p w14:paraId="7ED337BA" w14:textId="3141B7B3" w:rsidR="00FB5C03" w:rsidRPr="00FB5C03" w:rsidRDefault="00FB5C03" w:rsidP="00FB5C03">
      <w:pPr>
        <w:spacing w:line="240" w:lineRule="auto"/>
        <w:jc w:val="both"/>
        <w:rPr>
          <w:rFonts w:asciiTheme="minorBidi" w:eastAsia="Times New Roman" w:hAnsiTheme="minorBidi"/>
          <w:kern w:val="0"/>
          <w:lang w:bidi="he-IL"/>
          <w14:ligatures w14:val="none"/>
        </w:rPr>
      </w:pPr>
      <w:r w:rsidRPr="00FB5C03">
        <w:rPr>
          <w:rFonts w:asciiTheme="minorBidi" w:eastAsia="Times New Roman" w:hAnsiTheme="minorBidi"/>
          <w:color w:val="000000"/>
          <w:kern w:val="0"/>
          <w:lang w:bidi="he-IL"/>
          <w14:ligatures w14:val="none"/>
        </w:rPr>
        <w:t xml:space="preserve">Este desajuste entre expectativas vocacionales y realidad organizativa adquiere especial relevancia en el contexto del mercado laboral español, caracterizado por la ausencia de un horizonte de estabilidad y prosperidad. En este marco, el sacrificio, inicialmente asumido como una actitud necesaria para aceptar condiciones laborales exigentes, pierde progresivamente su sentido, al no verse recompensado ni material ni simbólicamente. La imposibilidad de proyectar una trayectoria profesional en la que el esfuerzo encuentre reconocimiento genera sentimientos persistentes de frustración y </w:t>
      </w:r>
      <w:r w:rsidRPr="00FB5C03">
        <w:rPr>
          <w:rFonts w:asciiTheme="minorBidi" w:eastAsia="Times New Roman" w:hAnsiTheme="minorBidi"/>
          <w:color w:val="000000"/>
          <w:kern w:val="0"/>
          <w:lang w:bidi="he-IL"/>
          <w14:ligatures w14:val="none"/>
        </w:rPr>
        <w:lastRenderedPageBreak/>
        <w:t>desencanto, vinculados a la percepción de un sector que ofrece escaso margen para la realización de los anhelos profesionales (</w:t>
      </w:r>
      <w:r w:rsidR="00793DDC" w:rsidRPr="00793DDC">
        <w:rPr>
          <w:rFonts w:asciiTheme="minorBidi" w:eastAsia="Times New Roman" w:hAnsiTheme="minorBidi"/>
          <w:i/>
          <w:iCs/>
          <w:color w:val="000000"/>
          <w:kern w:val="0"/>
          <w:lang w:bidi="he-IL"/>
          <w14:ligatures w14:val="none"/>
        </w:rPr>
        <w:t>ver</w:t>
      </w:r>
      <w:r w:rsidR="00793DDC">
        <w:rPr>
          <w:rFonts w:asciiTheme="minorBidi" w:eastAsia="Times New Roman" w:hAnsiTheme="minorBidi"/>
          <w:color w:val="000000"/>
          <w:kern w:val="0"/>
          <w:lang w:bidi="he-IL"/>
          <w14:ligatures w14:val="none"/>
        </w:rPr>
        <w:t xml:space="preserve"> </w:t>
      </w:r>
      <w:r w:rsidRPr="00FB5C03">
        <w:rPr>
          <w:rFonts w:asciiTheme="minorBidi" w:eastAsia="Times New Roman" w:hAnsiTheme="minorBidi"/>
          <w:color w:val="000000"/>
          <w:kern w:val="0"/>
          <w:lang w:bidi="he-IL"/>
          <w14:ligatures w14:val="none"/>
        </w:rPr>
        <w:t>Garrido-Sánchez et al., 2025).</w:t>
      </w:r>
    </w:p>
    <w:p w14:paraId="080DE125" w14:textId="41310E8A" w:rsidR="00FB5C03" w:rsidRPr="00FB5C03" w:rsidRDefault="00FB5C03" w:rsidP="00FB5C03">
      <w:pPr>
        <w:spacing w:line="240" w:lineRule="auto"/>
        <w:jc w:val="both"/>
        <w:rPr>
          <w:rFonts w:asciiTheme="minorBidi" w:eastAsia="Times New Roman" w:hAnsiTheme="minorBidi"/>
          <w:kern w:val="0"/>
          <w:lang w:bidi="he-IL"/>
          <w14:ligatures w14:val="none"/>
        </w:rPr>
      </w:pPr>
      <w:r w:rsidRPr="00FB5C03">
        <w:rPr>
          <w:rFonts w:asciiTheme="minorBidi" w:eastAsia="Times New Roman" w:hAnsiTheme="minorBidi"/>
          <w:color w:val="000000"/>
          <w:kern w:val="0"/>
          <w:lang w:bidi="he-IL"/>
          <w14:ligatures w14:val="none"/>
        </w:rPr>
        <w:t>Lejos de resolverse exclusivamente en clave individual, este malestar favorece, en algunos casos, procesos de reinterpretación crítica de las condiciones de trabajo, en los que la experiencia del sacrificio deja de entenderse como una responsabilidad personal y comienza a leerse como el resultado de dinámicas estructurales del sector. Es en este punto donde el malestar puede politizarse, abriendo, de manera desigual y no generalizada, la posibilidad de articulación de identidades colectivas.</w:t>
      </w:r>
    </w:p>
    <w:p w14:paraId="411EBBC6" w14:textId="77777777" w:rsidR="00B068CE" w:rsidRPr="00D34284" w:rsidRDefault="00B068CE" w:rsidP="00B068CE">
      <w:pPr>
        <w:rPr>
          <w:rFonts w:ascii="Arial" w:hAnsi="Arial" w:cs="Arial"/>
        </w:rPr>
      </w:pPr>
      <w:r w:rsidRPr="00D34284">
        <w:rPr>
          <w:rFonts w:ascii="Arial" w:hAnsi="Arial" w:cs="Arial"/>
          <w:b/>
          <w:bCs/>
          <w:lang w:val="es-ES_tradnl"/>
        </w:rPr>
        <w:br/>
        <w:t>Referencias bibliográficas</w:t>
      </w:r>
    </w:p>
    <w:p w14:paraId="26F3DEA9" w14:textId="77777777" w:rsidR="00BE3755" w:rsidRPr="0076093D" w:rsidRDefault="00BE3755" w:rsidP="0076093D">
      <w:pPr>
        <w:spacing w:before="240" w:after="240" w:line="240" w:lineRule="auto"/>
        <w:jc w:val="both"/>
        <w:rPr>
          <w:rFonts w:asciiTheme="minorBidi" w:eastAsia="Times New Roman" w:hAnsiTheme="minorBidi"/>
          <w:kern w:val="0"/>
          <w:lang w:val="en-GB" w:bidi="he-IL"/>
          <w14:ligatures w14:val="none"/>
        </w:rPr>
      </w:pPr>
      <w:r w:rsidRPr="0076093D">
        <w:rPr>
          <w:rFonts w:asciiTheme="minorBidi" w:eastAsia="Times New Roman" w:hAnsiTheme="minorBidi"/>
          <w:color w:val="000000"/>
          <w:kern w:val="0"/>
          <w:lang w:val="en-GB" w:bidi="he-IL"/>
          <w14:ligatures w14:val="none"/>
        </w:rPr>
        <w:t>Bulut, E. (2020).</w:t>
      </w:r>
      <w:r w:rsidRPr="0076093D">
        <w:rPr>
          <w:rFonts w:asciiTheme="minorBidi" w:eastAsia="Times New Roman" w:hAnsiTheme="minorBidi"/>
          <w:i/>
          <w:iCs/>
          <w:color w:val="000000"/>
          <w:kern w:val="0"/>
          <w:lang w:val="en-GB" w:bidi="he-IL"/>
          <w14:ligatures w14:val="none"/>
        </w:rPr>
        <w:t xml:space="preserve"> A precarious game: The illusion of dream jobs in the video game industry</w:t>
      </w:r>
      <w:r w:rsidRPr="0076093D">
        <w:rPr>
          <w:rFonts w:asciiTheme="minorBidi" w:eastAsia="Times New Roman" w:hAnsiTheme="minorBidi"/>
          <w:color w:val="000000"/>
          <w:kern w:val="0"/>
          <w:lang w:val="en-GB" w:bidi="he-IL"/>
          <w14:ligatures w14:val="none"/>
        </w:rPr>
        <w:t>. Cornell University Press.</w:t>
      </w:r>
    </w:p>
    <w:p w14:paraId="74B1C392" w14:textId="77777777" w:rsidR="00BE3755" w:rsidRPr="0076093D" w:rsidRDefault="00BE3755" w:rsidP="0076093D">
      <w:pPr>
        <w:spacing w:before="240" w:after="240" w:line="240" w:lineRule="auto"/>
        <w:jc w:val="both"/>
        <w:rPr>
          <w:rFonts w:asciiTheme="minorBidi" w:eastAsia="Times New Roman" w:hAnsiTheme="minorBidi"/>
          <w:kern w:val="0"/>
          <w:lang w:val="en-GB" w:bidi="he-IL"/>
          <w14:ligatures w14:val="none"/>
        </w:rPr>
      </w:pPr>
      <w:r w:rsidRPr="0076093D">
        <w:rPr>
          <w:rFonts w:asciiTheme="minorBidi" w:eastAsia="Times New Roman" w:hAnsiTheme="minorBidi"/>
          <w:color w:val="000000"/>
          <w:kern w:val="0"/>
          <w:lang w:val="en-GB" w:bidi="he-IL"/>
          <w14:ligatures w14:val="none"/>
        </w:rPr>
        <w:t xml:space="preserve">Cote, A. C., &amp; Harris, B. C. (2023). The cruel optimism of “good crunch”: How game industry discourses perpetuate unsustainable </w:t>
      </w:r>
      <w:proofErr w:type="spellStart"/>
      <w:r w:rsidRPr="0076093D">
        <w:rPr>
          <w:rFonts w:asciiTheme="minorBidi" w:eastAsia="Times New Roman" w:hAnsiTheme="minorBidi"/>
          <w:color w:val="000000"/>
          <w:kern w:val="0"/>
          <w:lang w:val="en-GB" w:bidi="he-IL"/>
          <w14:ligatures w14:val="none"/>
        </w:rPr>
        <w:t>labor</w:t>
      </w:r>
      <w:proofErr w:type="spellEnd"/>
      <w:r w:rsidRPr="0076093D">
        <w:rPr>
          <w:rFonts w:asciiTheme="minorBidi" w:eastAsia="Times New Roman" w:hAnsiTheme="minorBidi"/>
          <w:color w:val="000000"/>
          <w:kern w:val="0"/>
          <w:lang w:val="en-GB" w:bidi="he-IL"/>
          <w14:ligatures w14:val="none"/>
        </w:rPr>
        <w:t xml:space="preserve"> practices. </w:t>
      </w:r>
      <w:r w:rsidRPr="0076093D">
        <w:rPr>
          <w:rFonts w:asciiTheme="minorBidi" w:eastAsia="Times New Roman" w:hAnsiTheme="minorBidi"/>
          <w:i/>
          <w:iCs/>
          <w:color w:val="000000"/>
          <w:kern w:val="0"/>
          <w:lang w:val="en-GB" w:bidi="he-IL"/>
          <w14:ligatures w14:val="none"/>
        </w:rPr>
        <w:t>New Media &amp; Society</w:t>
      </w:r>
      <w:r w:rsidRPr="0076093D">
        <w:rPr>
          <w:rFonts w:asciiTheme="minorBidi" w:eastAsia="Times New Roman" w:hAnsiTheme="minorBidi"/>
          <w:color w:val="000000"/>
          <w:kern w:val="0"/>
          <w:lang w:val="en-GB" w:bidi="he-IL"/>
          <w14:ligatures w14:val="none"/>
        </w:rPr>
        <w:t xml:space="preserve">, 25(3), 609–627. </w:t>
      </w:r>
      <w:hyperlink r:id="rId12" w:history="1">
        <w:r w:rsidRPr="0076093D">
          <w:rPr>
            <w:rFonts w:asciiTheme="minorBidi" w:eastAsia="Times New Roman" w:hAnsiTheme="minorBidi"/>
            <w:color w:val="1155CC"/>
            <w:kern w:val="0"/>
            <w:u w:val="single"/>
            <w:lang w:val="en-GB" w:bidi="he-IL"/>
            <w14:ligatures w14:val="none"/>
          </w:rPr>
          <w:t>https://doi.org/10.1177/14614448211014213</w:t>
        </w:r>
      </w:hyperlink>
      <w:r w:rsidRPr="0076093D">
        <w:rPr>
          <w:rFonts w:asciiTheme="minorBidi" w:eastAsia="Times New Roman" w:hAnsiTheme="minorBidi"/>
          <w:color w:val="000000"/>
          <w:kern w:val="0"/>
          <w:lang w:val="en-GB" w:bidi="he-IL"/>
          <w14:ligatures w14:val="none"/>
        </w:rPr>
        <w:t> </w:t>
      </w:r>
    </w:p>
    <w:p w14:paraId="62A8B17F" w14:textId="77777777" w:rsidR="00BE3755" w:rsidRPr="0076093D" w:rsidRDefault="00BE3755" w:rsidP="0076093D">
      <w:pPr>
        <w:spacing w:before="240" w:after="240" w:line="240" w:lineRule="auto"/>
        <w:jc w:val="both"/>
        <w:rPr>
          <w:rFonts w:asciiTheme="minorBidi" w:eastAsia="Times New Roman" w:hAnsiTheme="minorBidi"/>
          <w:kern w:val="0"/>
          <w:lang w:val="en-GB" w:bidi="he-IL"/>
          <w14:ligatures w14:val="none"/>
        </w:rPr>
      </w:pPr>
      <w:r w:rsidRPr="0076093D">
        <w:rPr>
          <w:rFonts w:asciiTheme="minorBidi" w:eastAsia="Times New Roman" w:hAnsiTheme="minorBidi"/>
          <w:color w:val="000000"/>
          <w:kern w:val="0"/>
          <w:lang w:val="en-GB" w:bidi="he-IL"/>
          <w14:ligatures w14:val="none"/>
        </w:rPr>
        <w:t xml:space="preserve">Dyer-Whiteford, N., &amp; Peuter, G. de. (2006). “EA Spouse” and the Crisis of Video Game Labour: </w:t>
      </w:r>
      <w:r w:rsidRPr="0076093D">
        <w:rPr>
          <w:rFonts w:asciiTheme="minorBidi" w:eastAsia="Times New Roman" w:hAnsiTheme="minorBidi"/>
          <w:i/>
          <w:iCs/>
          <w:color w:val="000000"/>
          <w:kern w:val="0"/>
          <w:lang w:val="en-GB" w:bidi="he-IL"/>
          <w14:ligatures w14:val="none"/>
        </w:rPr>
        <w:t>Enjoyment, Exclusion, Exploitation, Exodus</w:t>
      </w:r>
      <w:r w:rsidRPr="0076093D">
        <w:rPr>
          <w:rFonts w:asciiTheme="minorBidi" w:eastAsia="Times New Roman" w:hAnsiTheme="minorBidi"/>
          <w:color w:val="000000"/>
          <w:kern w:val="0"/>
          <w:lang w:val="en-GB" w:bidi="he-IL"/>
          <w14:ligatures w14:val="none"/>
        </w:rPr>
        <w:t xml:space="preserve">. 31(3), 599–617.  </w:t>
      </w:r>
      <w:hyperlink r:id="rId13" w:history="1">
        <w:r w:rsidRPr="0076093D">
          <w:rPr>
            <w:rFonts w:asciiTheme="minorBidi" w:eastAsia="Times New Roman" w:hAnsiTheme="minorBidi"/>
            <w:color w:val="1155CC"/>
            <w:kern w:val="0"/>
            <w:u w:val="single"/>
            <w:lang w:val="en-GB" w:bidi="he-IL"/>
            <w14:ligatures w14:val="none"/>
          </w:rPr>
          <w:t>https://doi.org/10.22230/CJC.2006V31N3A1771</w:t>
        </w:r>
      </w:hyperlink>
      <w:r w:rsidRPr="0076093D">
        <w:rPr>
          <w:rFonts w:asciiTheme="minorBidi" w:eastAsia="Times New Roman" w:hAnsiTheme="minorBidi"/>
          <w:color w:val="000000"/>
          <w:kern w:val="0"/>
          <w:lang w:val="en-GB" w:bidi="he-IL"/>
          <w14:ligatures w14:val="none"/>
        </w:rPr>
        <w:t> </w:t>
      </w:r>
    </w:p>
    <w:p w14:paraId="7CAE3FE8" w14:textId="77777777" w:rsidR="00BE3755" w:rsidRPr="0076093D" w:rsidRDefault="00BE3755" w:rsidP="0076093D">
      <w:pPr>
        <w:spacing w:before="240" w:after="240" w:line="240" w:lineRule="auto"/>
        <w:jc w:val="both"/>
        <w:rPr>
          <w:rFonts w:asciiTheme="minorBidi" w:eastAsia="Times New Roman" w:hAnsiTheme="minorBidi"/>
          <w:kern w:val="0"/>
          <w:lang w:val="en-GB" w:bidi="he-IL"/>
          <w14:ligatures w14:val="none"/>
        </w:rPr>
      </w:pPr>
      <w:r w:rsidRPr="0076093D">
        <w:rPr>
          <w:rFonts w:asciiTheme="minorBidi" w:eastAsia="Times New Roman" w:hAnsiTheme="minorBidi"/>
          <w:color w:val="000000"/>
          <w:kern w:val="0"/>
          <w:lang w:val="en-GB" w:bidi="he-IL"/>
          <w14:ligatures w14:val="none"/>
        </w:rPr>
        <w:t xml:space="preserve">European Social Survey European Research Infrastructure Consortium (ESS ERIC) (2023). ESS Round 10 - 2020: </w:t>
      </w:r>
      <w:r w:rsidRPr="0076093D">
        <w:rPr>
          <w:rFonts w:asciiTheme="minorBidi" w:eastAsia="Times New Roman" w:hAnsiTheme="minorBidi"/>
          <w:i/>
          <w:iCs/>
          <w:color w:val="000000"/>
          <w:kern w:val="0"/>
          <w:lang w:val="en-GB" w:bidi="he-IL"/>
          <w14:ligatures w14:val="none"/>
        </w:rPr>
        <w:t>Democracy, Digital Social Contacts</w:t>
      </w:r>
      <w:r w:rsidRPr="0076093D">
        <w:rPr>
          <w:rFonts w:asciiTheme="minorBidi" w:eastAsia="Times New Roman" w:hAnsiTheme="minorBidi"/>
          <w:color w:val="000000"/>
          <w:kern w:val="0"/>
          <w:lang w:val="en-GB" w:bidi="he-IL"/>
          <w14:ligatures w14:val="none"/>
        </w:rPr>
        <w:t xml:space="preserve">. Norwegian Agency for Shared Services in Education and Research. </w:t>
      </w:r>
      <w:hyperlink r:id="rId14" w:history="1">
        <w:r w:rsidRPr="0076093D">
          <w:rPr>
            <w:rFonts w:asciiTheme="minorBidi" w:eastAsia="Times New Roman" w:hAnsiTheme="minorBidi"/>
            <w:color w:val="1155CC"/>
            <w:kern w:val="0"/>
            <w:u w:val="single"/>
            <w:lang w:val="en-GB" w:bidi="he-IL"/>
            <w14:ligatures w14:val="none"/>
          </w:rPr>
          <w:t>https://doi.org/10.21338/NSD-ESS10-2020</w:t>
        </w:r>
      </w:hyperlink>
      <w:r w:rsidRPr="0076093D">
        <w:rPr>
          <w:rFonts w:asciiTheme="minorBidi" w:eastAsia="Times New Roman" w:hAnsiTheme="minorBidi"/>
          <w:color w:val="000000"/>
          <w:kern w:val="0"/>
          <w:lang w:val="en-GB" w:bidi="he-IL"/>
          <w14:ligatures w14:val="none"/>
        </w:rPr>
        <w:t> </w:t>
      </w:r>
    </w:p>
    <w:p w14:paraId="43D6A144" w14:textId="77777777" w:rsidR="00BE3755" w:rsidRPr="0076093D" w:rsidRDefault="00BE3755" w:rsidP="0076093D">
      <w:pPr>
        <w:spacing w:before="240" w:after="240" w:line="240" w:lineRule="auto"/>
        <w:jc w:val="both"/>
        <w:rPr>
          <w:rFonts w:asciiTheme="minorBidi" w:eastAsia="Times New Roman" w:hAnsiTheme="minorBidi"/>
          <w:kern w:val="0"/>
          <w:lang w:bidi="he-IL"/>
          <w14:ligatures w14:val="none"/>
        </w:rPr>
      </w:pPr>
      <w:r w:rsidRPr="0076093D">
        <w:rPr>
          <w:rFonts w:asciiTheme="minorBidi" w:eastAsia="Times New Roman" w:hAnsiTheme="minorBidi"/>
          <w:color w:val="000000"/>
          <w:kern w:val="0"/>
          <w:lang w:bidi="he-IL"/>
          <w14:ligatures w14:val="none"/>
        </w:rPr>
        <w:t xml:space="preserve">García-Párraga R (2020) </w:t>
      </w:r>
      <w:r w:rsidRPr="0076093D">
        <w:rPr>
          <w:rFonts w:asciiTheme="minorBidi" w:eastAsia="Times New Roman" w:hAnsiTheme="minorBidi"/>
          <w:i/>
          <w:iCs/>
          <w:color w:val="000000"/>
          <w:kern w:val="0"/>
          <w:lang w:bidi="he-IL"/>
          <w14:ligatures w14:val="none"/>
        </w:rPr>
        <w:t>Informe de las condiciones de vida y trabajo en el desarrollo de videojuegos en España</w:t>
      </w:r>
      <w:r w:rsidRPr="0076093D">
        <w:rPr>
          <w:rFonts w:asciiTheme="minorBidi" w:eastAsia="Times New Roman" w:hAnsiTheme="minorBidi"/>
          <w:color w:val="000000"/>
          <w:kern w:val="0"/>
          <w:lang w:bidi="he-IL"/>
          <w14:ligatures w14:val="none"/>
        </w:rPr>
        <w:t xml:space="preserve">. </w:t>
      </w:r>
      <w:hyperlink r:id="rId15" w:history="1">
        <w:r w:rsidRPr="0076093D">
          <w:rPr>
            <w:rFonts w:asciiTheme="minorBidi" w:eastAsia="Times New Roman" w:hAnsiTheme="minorBidi"/>
            <w:color w:val="1155CC"/>
            <w:kern w:val="0"/>
            <w:u w:val="single"/>
            <w:lang w:bidi="he-IL"/>
            <w14:ligatures w14:val="none"/>
          </w:rPr>
          <w:t>https://doi.org/10.13140/RG.2.2.29112.88320</w:t>
        </w:r>
      </w:hyperlink>
      <w:r w:rsidRPr="0076093D">
        <w:rPr>
          <w:rFonts w:asciiTheme="minorBidi" w:eastAsia="Times New Roman" w:hAnsiTheme="minorBidi"/>
          <w:color w:val="000000"/>
          <w:kern w:val="0"/>
          <w:lang w:bidi="he-IL"/>
          <w14:ligatures w14:val="none"/>
        </w:rPr>
        <w:t> </w:t>
      </w:r>
    </w:p>
    <w:p w14:paraId="1BF57C75" w14:textId="77777777" w:rsidR="00BE3755" w:rsidRPr="0076093D" w:rsidRDefault="00BE3755" w:rsidP="0076093D">
      <w:pPr>
        <w:spacing w:before="240" w:after="240" w:line="240" w:lineRule="auto"/>
        <w:jc w:val="both"/>
        <w:rPr>
          <w:rFonts w:asciiTheme="minorBidi" w:eastAsia="Times New Roman" w:hAnsiTheme="minorBidi"/>
          <w:kern w:val="0"/>
          <w:lang w:bidi="he-IL"/>
          <w14:ligatures w14:val="none"/>
        </w:rPr>
      </w:pPr>
      <w:r w:rsidRPr="0076093D">
        <w:rPr>
          <w:rFonts w:asciiTheme="minorBidi" w:eastAsia="Times New Roman" w:hAnsiTheme="minorBidi"/>
          <w:color w:val="000000"/>
          <w:kern w:val="0"/>
          <w:lang w:bidi="he-IL"/>
          <w14:ligatures w14:val="none"/>
        </w:rPr>
        <w:t>Garrido-Sánchez L., Dueñas-Rello E. y Mantecón A. (2025). El trabajo soñado. Vocación y sacrificio en la industria del videojuego. </w:t>
      </w:r>
      <w:r w:rsidRPr="0076093D">
        <w:rPr>
          <w:rFonts w:asciiTheme="minorBidi" w:eastAsia="Times New Roman" w:hAnsiTheme="minorBidi"/>
          <w:i/>
          <w:iCs/>
          <w:color w:val="000000"/>
          <w:kern w:val="0"/>
          <w:lang w:bidi="he-IL"/>
          <w14:ligatures w14:val="none"/>
        </w:rPr>
        <w:t>Cuadernos de Relaciones Laborales</w:t>
      </w:r>
      <w:r w:rsidRPr="0076093D">
        <w:rPr>
          <w:rFonts w:asciiTheme="minorBidi" w:eastAsia="Times New Roman" w:hAnsiTheme="minorBidi"/>
          <w:color w:val="000000"/>
          <w:kern w:val="0"/>
          <w:lang w:bidi="he-IL"/>
          <w14:ligatures w14:val="none"/>
        </w:rPr>
        <w:t xml:space="preserve">, 1-20. </w:t>
      </w:r>
      <w:hyperlink r:id="rId16" w:history="1">
        <w:r w:rsidRPr="0076093D">
          <w:rPr>
            <w:rFonts w:asciiTheme="minorBidi" w:eastAsia="Times New Roman" w:hAnsiTheme="minorBidi"/>
            <w:color w:val="2E75B5"/>
            <w:kern w:val="0"/>
            <w:u w:val="single"/>
            <w:lang w:bidi="he-IL"/>
            <w14:ligatures w14:val="none"/>
          </w:rPr>
          <w:t>https://doi.org/10.5209/crla.98215</w:t>
        </w:r>
      </w:hyperlink>
      <w:r w:rsidRPr="0076093D">
        <w:rPr>
          <w:rFonts w:asciiTheme="minorBidi" w:eastAsia="Times New Roman" w:hAnsiTheme="minorBidi"/>
          <w:color w:val="2E75B5"/>
          <w:kern w:val="0"/>
          <w:lang w:bidi="he-IL"/>
          <w14:ligatures w14:val="none"/>
        </w:rPr>
        <w:t> </w:t>
      </w:r>
    </w:p>
    <w:p w14:paraId="33B4444F" w14:textId="77777777" w:rsidR="00BE3755" w:rsidRPr="0076093D" w:rsidRDefault="00BE3755" w:rsidP="0076093D">
      <w:pPr>
        <w:spacing w:before="240" w:after="240" w:line="240" w:lineRule="auto"/>
        <w:jc w:val="both"/>
        <w:rPr>
          <w:rFonts w:asciiTheme="minorBidi" w:eastAsia="Times New Roman" w:hAnsiTheme="minorBidi"/>
          <w:kern w:val="0"/>
          <w:lang w:val="en-GB" w:bidi="he-IL"/>
          <w14:ligatures w14:val="none"/>
        </w:rPr>
      </w:pPr>
      <w:r w:rsidRPr="0076093D">
        <w:rPr>
          <w:rFonts w:asciiTheme="minorBidi" w:eastAsia="Times New Roman" w:hAnsiTheme="minorBidi"/>
          <w:color w:val="000000"/>
          <w:kern w:val="0"/>
          <w:lang w:val="en-GB" w:bidi="he-IL"/>
          <w14:ligatures w14:val="none"/>
        </w:rPr>
        <w:t xml:space="preserve">Pelletier, C. (2024). How time flows making games: An ethnographic analysis of experiences of temporality in an indie videogame studio. </w:t>
      </w:r>
      <w:r w:rsidRPr="0076093D">
        <w:rPr>
          <w:rFonts w:asciiTheme="minorBidi" w:eastAsia="Times New Roman" w:hAnsiTheme="minorBidi"/>
          <w:i/>
          <w:iCs/>
          <w:color w:val="000000"/>
          <w:kern w:val="0"/>
          <w:lang w:val="en-GB" w:bidi="he-IL"/>
          <w14:ligatures w14:val="none"/>
        </w:rPr>
        <w:t>European Journal of Cultural Studies</w:t>
      </w:r>
      <w:r w:rsidRPr="0076093D">
        <w:rPr>
          <w:rFonts w:asciiTheme="minorBidi" w:eastAsia="Times New Roman" w:hAnsiTheme="minorBidi"/>
          <w:color w:val="000000"/>
          <w:kern w:val="0"/>
          <w:lang w:val="en-GB" w:bidi="he-IL"/>
          <w14:ligatures w14:val="none"/>
        </w:rPr>
        <w:t xml:space="preserve">, 27(6), 1194–1210. </w:t>
      </w:r>
      <w:hyperlink r:id="rId17" w:history="1">
        <w:r w:rsidRPr="0076093D">
          <w:rPr>
            <w:rFonts w:asciiTheme="minorBidi" w:eastAsia="Times New Roman" w:hAnsiTheme="minorBidi"/>
            <w:color w:val="1155CC"/>
            <w:kern w:val="0"/>
            <w:u w:val="single"/>
            <w:lang w:val="en-GB" w:bidi="he-IL"/>
            <w14:ligatures w14:val="none"/>
          </w:rPr>
          <w:t>https://doi.org/10.1177/13675494231217053</w:t>
        </w:r>
      </w:hyperlink>
      <w:r w:rsidRPr="0076093D">
        <w:rPr>
          <w:rFonts w:asciiTheme="minorBidi" w:eastAsia="Times New Roman" w:hAnsiTheme="minorBidi"/>
          <w:color w:val="000000"/>
          <w:kern w:val="0"/>
          <w:lang w:val="en-GB" w:bidi="he-IL"/>
          <w14:ligatures w14:val="none"/>
        </w:rPr>
        <w:t> </w:t>
      </w:r>
    </w:p>
    <w:p w14:paraId="25AD6032" w14:textId="77777777" w:rsidR="00BE3755" w:rsidRPr="0076093D" w:rsidRDefault="00BE3755" w:rsidP="0076093D">
      <w:pPr>
        <w:spacing w:before="240" w:after="240" w:line="240" w:lineRule="auto"/>
        <w:jc w:val="both"/>
        <w:rPr>
          <w:rFonts w:asciiTheme="minorBidi" w:eastAsia="Times New Roman" w:hAnsiTheme="minorBidi"/>
          <w:kern w:val="0"/>
          <w:lang w:val="en-GB" w:bidi="he-IL"/>
          <w14:ligatures w14:val="none"/>
        </w:rPr>
      </w:pPr>
      <w:r w:rsidRPr="0076093D">
        <w:rPr>
          <w:rFonts w:asciiTheme="minorBidi" w:eastAsia="Times New Roman" w:hAnsiTheme="minorBidi"/>
          <w:color w:val="000000"/>
          <w:kern w:val="0"/>
          <w:lang w:val="en-GB" w:bidi="he-IL"/>
          <w14:ligatures w14:val="none"/>
        </w:rPr>
        <w:t xml:space="preserve">Peticca-Harris, A., Weststar, J., &amp; McKenna, S. (2015). The perils of project-based work: Attempting resistance to extreme work practices in video game development. </w:t>
      </w:r>
      <w:r w:rsidRPr="0076093D">
        <w:rPr>
          <w:rFonts w:asciiTheme="minorBidi" w:eastAsia="Times New Roman" w:hAnsiTheme="minorBidi"/>
          <w:i/>
          <w:iCs/>
          <w:color w:val="000000"/>
          <w:kern w:val="0"/>
          <w:lang w:val="en-GB" w:bidi="he-IL"/>
          <w14:ligatures w14:val="none"/>
        </w:rPr>
        <w:t>Organization</w:t>
      </w:r>
      <w:r w:rsidRPr="0076093D">
        <w:rPr>
          <w:rFonts w:asciiTheme="minorBidi" w:eastAsia="Times New Roman" w:hAnsiTheme="minorBidi"/>
          <w:color w:val="000000"/>
          <w:kern w:val="0"/>
          <w:lang w:val="en-GB" w:bidi="he-IL"/>
          <w14:ligatures w14:val="none"/>
        </w:rPr>
        <w:t xml:space="preserve">, 22(4), 570–587. </w:t>
      </w:r>
      <w:hyperlink r:id="rId18" w:history="1">
        <w:r w:rsidRPr="0076093D">
          <w:rPr>
            <w:rFonts w:asciiTheme="minorBidi" w:eastAsia="Times New Roman" w:hAnsiTheme="minorBidi"/>
            <w:color w:val="1155CC"/>
            <w:kern w:val="0"/>
            <w:u w:val="single"/>
            <w:lang w:val="en-GB" w:bidi="he-IL"/>
            <w14:ligatures w14:val="none"/>
          </w:rPr>
          <w:t>https://doi.org/10.1177/1350508415572509</w:t>
        </w:r>
      </w:hyperlink>
      <w:r w:rsidRPr="0076093D">
        <w:rPr>
          <w:rFonts w:asciiTheme="minorBidi" w:eastAsia="Times New Roman" w:hAnsiTheme="minorBidi"/>
          <w:color w:val="000000"/>
          <w:kern w:val="0"/>
          <w:lang w:val="en-GB" w:bidi="he-IL"/>
          <w14:ligatures w14:val="none"/>
        </w:rPr>
        <w:t> </w:t>
      </w:r>
    </w:p>
    <w:p w14:paraId="07501B4F" w14:textId="77777777" w:rsidR="00BE3755" w:rsidRPr="0076093D" w:rsidRDefault="00BE3755" w:rsidP="0076093D">
      <w:pPr>
        <w:spacing w:before="240" w:after="240" w:line="240" w:lineRule="auto"/>
        <w:jc w:val="both"/>
        <w:rPr>
          <w:rFonts w:asciiTheme="minorBidi" w:eastAsia="Times New Roman" w:hAnsiTheme="minorBidi"/>
          <w:kern w:val="0"/>
          <w:lang w:val="en-GB" w:bidi="he-IL"/>
          <w14:ligatures w14:val="none"/>
        </w:rPr>
      </w:pPr>
      <w:r w:rsidRPr="0076093D">
        <w:rPr>
          <w:rFonts w:asciiTheme="minorBidi" w:eastAsia="Times New Roman" w:hAnsiTheme="minorBidi"/>
          <w:color w:val="000000"/>
          <w:kern w:val="0"/>
          <w:lang w:val="en-GB" w:bidi="he-IL"/>
          <w14:ligatures w14:val="none"/>
        </w:rPr>
        <w:t xml:space="preserve">Weststar, J., &amp; Dubois, L. É. (2023). From Crunch to Grind: Adopting Servitization in Project-Based Creative Work. </w:t>
      </w:r>
      <w:r w:rsidRPr="0076093D">
        <w:rPr>
          <w:rFonts w:asciiTheme="minorBidi" w:eastAsia="Times New Roman" w:hAnsiTheme="minorBidi"/>
          <w:i/>
          <w:iCs/>
          <w:color w:val="000000"/>
          <w:kern w:val="0"/>
          <w:lang w:val="en-GB" w:bidi="he-IL"/>
          <w14:ligatures w14:val="none"/>
        </w:rPr>
        <w:t>Work, Employment and Society</w:t>
      </w:r>
      <w:r w:rsidRPr="0076093D">
        <w:rPr>
          <w:rFonts w:asciiTheme="minorBidi" w:eastAsia="Times New Roman" w:hAnsiTheme="minorBidi"/>
          <w:color w:val="000000"/>
          <w:kern w:val="0"/>
          <w:lang w:val="en-GB" w:bidi="he-IL"/>
          <w14:ligatures w14:val="none"/>
        </w:rPr>
        <w:t xml:space="preserve">, 37(4), 972–990. </w:t>
      </w:r>
      <w:hyperlink r:id="rId19" w:history="1">
        <w:r w:rsidRPr="0076093D">
          <w:rPr>
            <w:rFonts w:asciiTheme="minorBidi" w:eastAsia="Times New Roman" w:hAnsiTheme="minorBidi"/>
            <w:color w:val="1155CC"/>
            <w:kern w:val="0"/>
            <w:u w:val="single"/>
            <w:lang w:val="en-GB" w:bidi="he-IL"/>
            <w14:ligatures w14:val="none"/>
          </w:rPr>
          <w:t>https://doi.org/10.1177/09500170211061228</w:t>
        </w:r>
      </w:hyperlink>
      <w:r w:rsidRPr="0076093D">
        <w:rPr>
          <w:rFonts w:asciiTheme="minorBidi" w:eastAsia="Times New Roman" w:hAnsiTheme="minorBidi"/>
          <w:color w:val="000000"/>
          <w:kern w:val="0"/>
          <w:lang w:val="en-GB" w:bidi="he-IL"/>
          <w14:ligatures w14:val="none"/>
        </w:rPr>
        <w:t> </w:t>
      </w:r>
    </w:p>
    <w:p w14:paraId="27346192" w14:textId="77777777" w:rsidR="00BE3755" w:rsidRPr="00BE3755" w:rsidRDefault="00BE3755" w:rsidP="0076093D">
      <w:pPr>
        <w:rPr>
          <w:rFonts w:asciiTheme="minorBidi" w:hAnsiTheme="minorBidi"/>
          <w:lang w:val="en-GB"/>
        </w:rPr>
      </w:pPr>
      <w:r w:rsidRPr="00BE3755">
        <w:rPr>
          <w:rFonts w:asciiTheme="minorBidi" w:eastAsia="Times New Roman" w:hAnsiTheme="minorBidi"/>
          <w:color w:val="000000"/>
          <w:kern w:val="0"/>
          <w:lang w:val="en-GB" w:bidi="he-IL"/>
          <w14:ligatures w14:val="none"/>
        </w:rPr>
        <w:t xml:space="preserve">Whitson, J. R. (2019). The New Spirit of Capitalism in the Game Industry. </w:t>
      </w:r>
      <w:r w:rsidRPr="00BE3755">
        <w:rPr>
          <w:rFonts w:asciiTheme="minorBidi" w:eastAsia="Times New Roman" w:hAnsiTheme="minorBidi"/>
          <w:i/>
          <w:iCs/>
          <w:color w:val="000000"/>
          <w:kern w:val="0"/>
          <w:lang w:val="en-GB" w:bidi="he-IL"/>
          <w14:ligatures w14:val="none"/>
        </w:rPr>
        <w:t>Television &amp; New Media</w:t>
      </w:r>
      <w:r w:rsidRPr="00BE3755">
        <w:rPr>
          <w:rFonts w:asciiTheme="minorBidi" w:eastAsia="Times New Roman" w:hAnsiTheme="minorBidi"/>
          <w:color w:val="000000"/>
          <w:kern w:val="0"/>
          <w:lang w:val="en-GB" w:bidi="he-IL"/>
          <w14:ligatures w14:val="none"/>
        </w:rPr>
        <w:t xml:space="preserve">, 20(8), 789–801. </w:t>
      </w:r>
      <w:hyperlink r:id="rId20" w:history="1">
        <w:r w:rsidRPr="00BE3755">
          <w:rPr>
            <w:rStyle w:val="Hipervnculo"/>
            <w:rFonts w:asciiTheme="minorBidi" w:eastAsia="Times New Roman" w:hAnsiTheme="minorBidi"/>
            <w:kern w:val="0"/>
            <w:lang w:val="en-GB" w:bidi="he-IL"/>
            <w14:ligatures w14:val="none"/>
          </w:rPr>
          <w:t>https://doi.org/10.1177/152747641985108</w:t>
        </w:r>
        <w:r w:rsidRPr="00BE3755">
          <w:rPr>
            <w:rStyle w:val="Hipervnculo"/>
            <w:rFonts w:asciiTheme="minorBidi" w:eastAsia="Times New Roman" w:hAnsiTheme="minorBidi"/>
            <w:kern w:val="0"/>
            <w:lang w:val="en-GB" w:bidi="he-IL"/>
            <w14:ligatures w14:val="none"/>
          </w:rPr>
          <w:t>6</w:t>
        </w:r>
      </w:hyperlink>
    </w:p>
    <w:p w14:paraId="184F5B4E" w14:textId="77777777" w:rsidR="00C86D46" w:rsidRPr="00C86D46" w:rsidRDefault="00C86D46" w:rsidP="00C86D46"/>
    <w:p w14:paraId="24FAB2EF" w14:textId="77777777" w:rsidR="00C86D46" w:rsidRPr="00C86D46" w:rsidRDefault="00C86D46" w:rsidP="00C86D46"/>
    <w:p w14:paraId="34D6A856" w14:textId="7CE1C4B8" w:rsidR="00C86D46" w:rsidRPr="00C86D46" w:rsidRDefault="00094549" w:rsidP="00C86D46">
      <w:pPr>
        <w:tabs>
          <w:tab w:val="left" w:pos="1950"/>
        </w:tabs>
      </w:pPr>
      <w:r w:rsidRPr="00B674DC">
        <w:rPr>
          <w:noProof/>
        </w:rPr>
        <w:drawing>
          <wp:anchor distT="0" distB="0" distL="114300" distR="114300" simplePos="0" relativeHeight="251661312" behindDoc="0" locked="0" layoutInCell="1" allowOverlap="1" wp14:anchorId="6FC5DBF4" wp14:editId="652CA5CE">
            <wp:simplePos x="0" y="0"/>
            <wp:positionH relativeFrom="page">
              <wp:posOffset>-66675</wp:posOffset>
            </wp:positionH>
            <wp:positionV relativeFrom="page">
              <wp:posOffset>9722553</wp:posOffset>
            </wp:positionV>
            <wp:extent cx="7757079" cy="95504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7757079" cy="955040"/>
                    </a:xfrm>
                    <a:prstGeom prst="rect">
                      <a:avLst/>
                    </a:prstGeom>
                  </pic:spPr>
                </pic:pic>
              </a:graphicData>
            </a:graphic>
            <wp14:sizeRelH relativeFrom="margin">
              <wp14:pctWidth>0</wp14:pctWidth>
            </wp14:sizeRelH>
            <wp14:sizeRelV relativeFrom="margin">
              <wp14:pctHeight>0</wp14:pctHeight>
            </wp14:sizeRelV>
          </wp:anchor>
        </w:drawing>
      </w:r>
    </w:p>
    <w:sectPr w:rsidR="00C86D46" w:rsidRPr="00C86D4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84244" w14:textId="77777777" w:rsidR="0050661F" w:rsidRDefault="0050661F" w:rsidP="0076093D">
      <w:pPr>
        <w:spacing w:after="0" w:line="240" w:lineRule="auto"/>
      </w:pPr>
      <w:r>
        <w:separator/>
      </w:r>
    </w:p>
  </w:endnote>
  <w:endnote w:type="continuationSeparator" w:id="0">
    <w:p w14:paraId="3A107986" w14:textId="77777777" w:rsidR="0050661F" w:rsidRDefault="0050661F" w:rsidP="007609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Malgun Gothic"/>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1D903" w14:textId="77777777" w:rsidR="0050661F" w:rsidRDefault="0050661F" w:rsidP="0076093D">
      <w:pPr>
        <w:spacing w:after="0" w:line="240" w:lineRule="auto"/>
      </w:pPr>
      <w:r>
        <w:separator/>
      </w:r>
    </w:p>
  </w:footnote>
  <w:footnote w:type="continuationSeparator" w:id="0">
    <w:p w14:paraId="19D9562A" w14:textId="77777777" w:rsidR="0050661F" w:rsidRDefault="0050661F" w:rsidP="0076093D">
      <w:pPr>
        <w:spacing w:after="0" w:line="240" w:lineRule="auto"/>
      </w:pPr>
      <w:r>
        <w:continuationSeparator/>
      </w:r>
    </w:p>
  </w:footnote>
  <w:footnote w:id="1">
    <w:p w14:paraId="12191D2F" w14:textId="570B70D7" w:rsidR="0076093D" w:rsidRPr="00793DDC" w:rsidRDefault="0076093D" w:rsidP="008D5770">
      <w:pPr>
        <w:pStyle w:val="Textonotapie"/>
        <w:jc w:val="both"/>
        <w:rPr>
          <w:rFonts w:asciiTheme="minorBidi" w:hAnsiTheme="minorBidi"/>
          <w:sz w:val="18"/>
          <w:szCs w:val="18"/>
        </w:rPr>
      </w:pPr>
      <w:r w:rsidRPr="00793DDC">
        <w:rPr>
          <w:rStyle w:val="Refdenotaalpie"/>
          <w:rFonts w:asciiTheme="minorBidi" w:hAnsiTheme="minorBidi"/>
          <w:sz w:val="18"/>
          <w:szCs w:val="18"/>
        </w:rPr>
        <w:footnoteRef/>
      </w:r>
      <w:r w:rsidRPr="00793DDC">
        <w:rPr>
          <w:rFonts w:asciiTheme="minorBidi" w:hAnsiTheme="minorBidi"/>
          <w:sz w:val="18"/>
          <w:szCs w:val="18"/>
        </w:rPr>
        <w:t xml:space="preserve"> </w:t>
      </w:r>
      <w:r w:rsidR="008D5770" w:rsidRPr="00793DDC">
        <w:rPr>
          <w:rFonts w:asciiTheme="minorBidi" w:hAnsiTheme="minorBidi"/>
          <w:sz w:val="18"/>
          <w:szCs w:val="18"/>
        </w:rPr>
        <w:t>Est</w:t>
      </w:r>
      <w:r w:rsidR="008D5770" w:rsidRPr="00793DDC">
        <w:rPr>
          <w:rFonts w:asciiTheme="minorBidi" w:hAnsiTheme="minorBidi"/>
          <w:sz w:val="18"/>
          <w:szCs w:val="18"/>
        </w:rPr>
        <w:t xml:space="preserve">a comunicación </w:t>
      </w:r>
      <w:r w:rsidR="008D5770" w:rsidRPr="00793DDC">
        <w:rPr>
          <w:rFonts w:asciiTheme="minorBidi" w:hAnsiTheme="minorBidi"/>
          <w:sz w:val="18"/>
          <w:szCs w:val="18"/>
        </w:rPr>
        <w:t>forma parte del proyecto "La pasión en el trabajo como capital. Vivencias, ambivalencias, resistencias y subjetividades de género en el sector de industrias culturales y creativas” (proyecto PID 2022-138959NB-100) financiado por el Ministerio de Ciencia e Innovación (Proyectos de Generación de Conocimiento 2022).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C10EE"/>
    <w:multiLevelType w:val="hybridMultilevel"/>
    <w:tmpl w:val="7C5C4B5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E9B2885"/>
    <w:multiLevelType w:val="hybridMultilevel"/>
    <w:tmpl w:val="8AC88CF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499599B"/>
    <w:multiLevelType w:val="hybridMultilevel"/>
    <w:tmpl w:val="87E49B62"/>
    <w:lvl w:ilvl="0" w:tplc="B09833AC">
      <w:start w:val="1"/>
      <w:numFmt w:val="bullet"/>
      <w:lvlText w:val="–"/>
      <w:lvlJc w:val="left"/>
      <w:pPr>
        <w:ind w:left="720" w:hanging="360"/>
      </w:pPr>
      <w:rPr>
        <w:rFonts w:ascii="Garamond" w:hAnsi="Garamond" w:hint="default"/>
      </w:rPr>
    </w:lvl>
    <w:lvl w:ilvl="1" w:tplc="FFFFFFFF">
      <w:start w:val="1"/>
      <w:numFmt w:val="bullet"/>
      <w:lvlText w:val="o"/>
      <w:lvlJc w:val="left"/>
      <w:pPr>
        <w:ind w:left="1440" w:hanging="360"/>
      </w:pPr>
      <w:rPr>
        <w:rFonts w:ascii="Courier New" w:hAnsi="Courier New" w:cs="Courier New" w:hint="default"/>
      </w:rPr>
    </w:lvl>
    <w:lvl w:ilvl="2" w:tplc="812AB09C">
      <w:start w:val="1"/>
      <w:numFmt w:val="bullet"/>
      <w:lvlText w:val="•"/>
      <w:lvlJc w:val="left"/>
      <w:pPr>
        <w:ind w:left="2505" w:hanging="705"/>
      </w:pPr>
      <w:rPr>
        <w:rFonts w:ascii="Arial" w:eastAsiaTheme="minorHAnsi"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2B702D5"/>
    <w:multiLevelType w:val="multilevel"/>
    <w:tmpl w:val="BCEE6FE6"/>
    <w:lvl w:ilvl="0">
      <w:start w:val="1"/>
      <w:numFmt w:val="decimal"/>
      <w:lvlText w:val="%1."/>
      <w:lvlJc w:val="left"/>
      <w:pPr>
        <w:ind w:left="705" w:hanging="705"/>
      </w:pPr>
      <w:rPr>
        <w:rFonts w:hint="default"/>
      </w:rPr>
    </w:lvl>
    <w:lvl w:ilvl="1">
      <w:start w:val="1"/>
      <w:numFmt w:val="decimal"/>
      <w:isLgl/>
      <w:lvlText w:val="%1.%2"/>
      <w:lvlJc w:val="left"/>
      <w:pPr>
        <w:ind w:left="720" w:hanging="72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 w15:restartNumberingAfterBreak="0">
    <w:nsid w:val="56426595"/>
    <w:multiLevelType w:val="hybridMultilevel"/>
    <w:tmpl w:val="C37E6BE2"/>
    <w:lvl w:ilvl="0" w:tplc="B09833AC">
      <w:start w:val="1"/>
      <w:numFmt w:val="bullet"/>
      <w:lvlText w:val="–"/>
      <w:lvlJc w:val="left"/>
      <w:pPr>
        <w:ind w:left="720" w:hanging="360"/>
      </w:pPr>
      <w:rPr>
        <w:rFonts w:ascii="Garamond" w:hAnsi="Garamond"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33C3C69"/>
    <w:multiLevelType w:val="hybridMultilevel"/>
    <w:tmpl w:val="F7948EA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701058266">
    <w:abstractNumId w:val="1"/>
  </w:num>
  <w:num w:numId="2" w16cid:durableId="776951867">
    <w:abstractNumId w:val="0"/>
  </w:num>
  <w:num w:numId="3" w16cid:durableId="683215440">
    <w:abstractNumId w:val="5"/>
  </w:num>
  <w:num w:numId="4" w16cid:durableId="388726771">
    <w:abstractNumId w:val="3"/>
  </w:num>
  <w:num w:numId="5" w16cid:durableId="1446581733">
    <w:abstractNumId w:val="2"/>
  </w:num>
  <w:num w:numId="6" w16cid:durableId="6541839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D46"/>
    <w:rsid w:val="00046DB4"/>
    <w:rsid w:val="00094549"/>
    <w:rsid w:val="000F1E6E"/>
    <w:rsid w:val="001A6227"/>
    <w:rsid w:val="001D0D87"/>
    <w:rsid w:val="002612EF"/>
    <w:rsid w:val="00266769"/>
    <w:rsid w:val="003068B0"/>
    <w:rsid w:val="0038392E"/>
    <w:rsid w:val="003A0E2C"/>
    <w:rsid w:val="003E143B"/>
    <w:rsid w:val="003E29B0"/>
    <w:rsid w:val="00467E0C"/>
    <w:rsid w:val="00491A43"/>
    <w:rsid w:val="004A2DBB"/>
    <w:rsid w:val="004F71D1"/>
    <w:rsid w:val="0050661F"/>
    <w:rsid w:val="00561028"/>
    <w:rsid w:val="006342C9"/>
    <w:rsid w:val="0071439D"/>
    <w:rsid w:val="0076093D"/>
    <w:rsid w:val="00793DDC"/>
    <w:rsid w:val="007A793C"/>
    <w:rsid w:val="008D5770"/>
    <w:rsid w:val="009F4CE4"/>
    <w:rsid w:val="00B068CE"/>
    <w:rsid w:val="00B5293E"/>
    <w:rsid w:val="00BE3374"/>
    <w:rsid w:val="00BE3755"/>
    <w:rsid w:val="00C86D46"/>
    <w:rsid w:val="00D273E4"/>
    <w:rsid w:val="00E33DD3"/>
    <w:rsid w:val="00FA3501"/>
    <w:rsid w:val="00FB5C03"/>
    <w:rsid w:val="00FE3881"/>
  </w:rsids>
  <m:mathPr>
    <m:mathFont m:val="Cambria Math"/>
    <m:brkBin m:val="before"/>
    <m:brkBinSub m:val="--"/>
    <m:smallFrac m:val="0"/>
    <m:dispDef/>
    <m:lMargin m:val="0"/>
    <m:rMargin m:val="0"/>
    <m:defJc m:val="centerGroup"/>
    <m:wrapIndent m:val="1440"/>
    <m:intLim m:val="subSup"/>
    <m:naryLim m:val="undOvr"/>
  </m:mathPr>
  <w:themeFontLang w:val="es-E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F1F0F"/>
  <w15:chartTrackingRefBased/>
  <w15:docId w15:val="{77A74AC5-4F84-4F5E-BCEA-5F66006A4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s-E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1D0D87"/>
    <w:rPr>
      <w:u w:val="single"/>
    </w:rPr>
  </w:style>
  <w:style w:type="paragraph" w:styleId="Prrafodelista">
    <w:name w:val="List Paragraph"/>
    <w:basedOn w:val="Normal"/>
    <w:uiPriority w:val="34"/>
    <w:qFormat/>
    <w:rsid w:val="001D0D87"/>
    <w:pPr>
      <w:pBdr>
        <w:top w:val="nil"/>
        <w:left w:val="nil"/>
        <w:bottom w:val="nil"/>
        <w:right w:val="nil"/>
        <w:between w:val="nil"/>
        <w:bar w:val="nil"/>
      </w:pBdr>
      <w:spacing w:after="0" w:line="240" w:lineRule="auto"/>
      <w:ind w:left="720"/>
      <w:contextualSpacing/>
    </w:pPr>
    <w:rPr>
      <w:rFonts w:ascii="Times New Roman" w:eastAsia="Arial Unicode MS" w:hAnsi="Times New Roman" w:cs="Times New Roman"/>
      <w:kern w:val="0"/>
      <w:sz w:val="24"/>
      <w:szCs w:val="24"/>
      <w:bdr w:val="nil"/>
      <w:lang w:val="en-US" w:eastAsia="en-US"/>
      <w14:ligatures w14:val="none"/>
    </w:rPr>
  </w:style>
  <w:style w:type="paragraph" w:customStyle="1" w:styleId="Cuerpo">
    <w:name w:val="Cuerpo"/>
    <w:rsid w:val="00B068C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val="es-ES_tradnl"/>
      <w14:ligatures w14:val="none"/>
    </w:rPr>
  </w:style>
  <w:style w:type="character" w:customStyle="1" w:styleId="Ninguno">
    <w:name w:val="Ninguno"/>
    <w:rsid w:val="00B068CE"/>
    <w:rPr>
      <w:lang w:val="es-ES_tradnl"/>
    </w:rPr>
  </w:style>
  <w:style w:type="paragraph" w:customStyle="1" w:styleId="Poromisin">
    <w:name w:val="Por omisión"/>
    <w:rsid w:val="00B068CE"/>
    <w:pPr>
      <w:pBdr>
        <w:top w:val="nil"/>
        <w:left w:val="nil"/>
        <w:bottom w:val="nil"/>
        <w:right w:val="nil"/>
        <w:between w:val="nil"/>
        <w:bar w:val="nil"/>
      </w:pBdr>
      <w:spacing w:after="0" w:line="240" w:lineRule="auto"/>
    </w:pPr>
    <w:rPr>
      <w:rFonts w:ascii="Helvetica Neue" w:eastAsia="Helvetica Neue" w:hAnsi="Helvetica Neue" w:cs="Helvetica Neue"/>
      <w:color w:val="000000"/>
      <w:kern w:val="0"/>
      <w:bdr w:val="nil"/>
      <w14:ligatures w14:val="none"/>
    </w:rPr>
  </w:style>
  <w:style w:type="character" w:customStyle="1" w:styleId="Hyperlink0">
    <w:name w:val="Hyperlink.0"/>
    <w:rsid w:val="00B068CE"/>
    <w:rPr>
      <w:color w:val="0000FF"/>
      <w:sz w:val="22"/>
      <w:szCs w:val="22"/>
      <w:u w:val="single" w:color="0000FF"/>
      <w:lang w:val="es-ES_tradnl"/>
    </w:rPr>
  </w:style>
  <w:style w:type="paragraph" w:styleId="NormalWeb">
    <w:name w:val="Normal (Web)"/>
    <w:basedOn w:val="Normal"/>
    <w:uiPriority w:val="99"/>
    <w:semiHidden/>
    <w:unhideWhenUsed/>
    <w:rsid w:val="004A2DBB"/>
    <w:rPr>
      <w:rFonts w:ascii="Times New Roman" w:hAnsi="Times New Roman" w:cs="Times New Roman"/>
      <w:sz w:val="24"/>
      <w:szCs w:val="24"/>
    </w:rPr>
  </w:style>
  <w:style w:type="character" w:styleId="Mencinsinresolver">
    <w:name w:val="Unresolved Mention"/>
    <w:basedOn w:val="Fuentedeprrafopredeter"/>
    <w:uiPriority w:val="99"/>
    <w:semiHidden/>
    <w:unhideWhenUsed/>
    <w:rsid w:val="004A2DBB"/>
    <w:rPr>
      <w:color w:val="605E5C"/>
      <w:shd w:val="clear" w:color="auto" w:fill="E1DFDD"/>
    </w:rPr>
  </w:style>
  <w:style w:type="paragraph" w:styleId="Textonotapie">
    <w:name w:val="footnote text"/>
    <w:basedOn w:val="Normal"/>
    <w:link w:val="TextonotapieCar"/>
    <w:uiPriority w:val="99"/>
    <w:semiHidden/>
    <w:unhideWhenUsed/>
    <w:rsid w:val="0076093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6093D"/>
    <w:rPr>
      <w:sz w:val="20"/>
      <w:szCs w:val="20"/>
    </w:rPr>
  </w:style>
  <w:style w:type="character" w:styleId="Refdenotaalpie">
    <w:name w:val="footnote reference"/>
    <w:basedOn w:val="Fuentedeprrafopredeter"/>
    <w:uiPriority w:val="99"/>
    <w:semiHidden/>
    <w:unhideWhenUsed/>
    <w:rsid w:val="007609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081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i.org/10.22230/CJC.2006V31N3A1771" TargetMode="External"/><Relationship Id="rId18" Type="http://schemas.openxmlformats.org/officeDocument/2006/relationships/hyperlink" Target="https://doi.org/10.1177/1350508415572509" TargetMode="Externa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webSettings" Target="webSettings.xml"/><Relationship Id="rId12" Type="http://schemas.openxmlformats.org/officeDocument/2006/relationships/hyperlink" Target="https://doi.org/10.1177/14614448211014213" TargetMode="External"/><Relationship Id="rId17" Type="http://schemas.openxmlformats.org/officeDocument/2006/relationships/hyperlink" Target="https://doi.org/10.1177/13675494231217053" TargetMode="External"/><Relationship Id="rId2" Type="http://schemas.openxmlformats.org/officeDocument/2006/relationships/customXml" Target="../customXml/item2.xml"/><Relationship Id="rId16" Type="http://schemas.openxmlformats.org/officeDocument/2006/relationships/hyperlink" Target="https://doi.org/10.5209/crla.98215" TargetMode="External"/><Relationship Id="rId20" Type="http://schemas.openxmlformats.org/officeDocument/2006/relationships/hyperlink" Target="https://doi.org/10.1177/1527476419851086"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ugarr03@ucm.es" TargetMode="External"/><Relationship Id="rId5" Type="http://schemas.openxmlformats.org/officeDocument/2006/relationships/styles" Target="styles.xml"/><Relationship Id="rId15" Type="http://schemas.openxmlformats.org/officeDocument/2006/relationships/hyperlink" Target="https://doi.org/10.13140/RG.2.2.29112.88320"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doi.org/10.1177/09500170211061228"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i.org/10.21338/NSD-ESS10-2020"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7045FBB2B5DBD459A5C2FA5585895A9" ma:contentTypeVersion="14" ma:contentTypeDescription="Crear nuevo documento." ma:contentTypeScope="" ma:versionID="597828c234f0eb0222493bc2bdf437d4">
  <xsd:schema xmlns:xsd="http://www.w3.org/2001/XMLSchema" xmlns:xs="http://www.w3.org/2001/XMLSchema" xmlns:p="http://schemas.microsoft.com/office/2006/metadata/properties" xmlns:ns2="3cfc0b79-8c16-4499-a664-71a1564ec6b6" xmlns:ns3="1dbcecf1-4e4f-4012-b32b-f1dfd1829a30" targetNamespace="http://schemas.microsoft.com/office/2006/metadata/properties" ma:root="true" ma:fieldsID="5860895d2bd49fc17a1728879cede04c" ns2:_="" ns3:_="">
    <xsd:import namespace="3cfc0b79-8c16-4499-a664-71a1564ec6b6"/>
    <xsd:import namespace="1dbcecf1-4e4f-4012-b32b-f1dfd1829a3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fc0b79-8c16-4499-a664-71a1564ec6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b522dc24-96cd-417c-b653-1aec5a399f8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bcecf1-4e4f-4012-b32b-f1dfd1829a3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bc26f81-ee67-44b7-b9f6-f2791b7c2fcf}" ma:internalName="TaxCatchAll" ma:showField="CatchAllData" ma:web="1dbcecf1-4e4f-4012-b32b-f1dfd1829a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dbcecf1-4e4f-4012-b32b-f1dfd1829a30" xsi:nil="true"/>
    <lcf76f155ced4ddcb4097134ff3c332f xmlns="3cfc0b79-8c16-4499-a664-71a1564ec6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7911DBA-9FEE-4B36-BA0B-EB2DB242F0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fc0b79-8c16-4499-a664-71a1564ec6b6"/>
    <ds:schemaRef ds:uri="1dbcecf1-4e4f-4012-b32b-f1dfd1829a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D6679D-1C5B-424F-AD90-5BEA1381B6E8}">
  <ds:schemaRefs>
    <ds:schemaRef ds:uri="http://schemas.microsoft.com/sharepoint/v3/contenttype/forms"/>
  </ds:schemaRefs>
</ds:datastoreItem>
</file>

<file path=customXml/itemProps3.xml><?xml version="1.0" encoding="utf-8"?>
<ds:datastoreItem xmlns:ds="http://schemas.openxmlformats.org/officeDocument/2006/customXml" ds:itemID="{37E464EF-2C97-4E0D-AF0D-C04C257D25C9}">
  <ds:schemaRefs>
    <ds:schemaRef ds:uri="http://schemas.microsoft.com/office/2006/metadata/properties"/>
    <ds:schemaRef ds:uri="http://schemas.microsoft.com/office/infopath/2007/PartnerControls"/>
    <ds:schemaRef ds:uri="1dbcecf1-4e4f-4012-b32b-f1dfd1829a30"/>
    <ds:schemaRef ds:uri="3cfc0b79-8c16-4499-a664-71a1564ec6b6"/>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1438</Words>
  <Characters>7914</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García García</dc:creator>
  <cp:keywords/>
  <dc:description/>
  <cp:lastModifiedBy>Luis Garrido</cp:lastModifiedBy>
  <cp:revision>7</cp:revision>
  <dcterms:created xsi:type="dcterms:W3CDTF">2025-10-28T10:09:00Z</dcterms:created>
  <dcterms:modified xsi:type="dcterms:W3CDTF">2026-03-05T08:38:00Z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0x010100D7045FBB2B5DBD459A5C2FA5585895A9</vt:lpwstr>
  </property>
</Properties>
</file>